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BB33A9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BB33A9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3A9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Pr="00BB33A9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E65B7" w:rsidRPr="00BB33A9" w:rsidRDefault="005E65B7" w:rsidP="005E65B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B33A9" w:rsidRPr="00992D71" w:rsidRDefault="00BB33A9" w:rsidP="00BB33A9">
      <w:pPr>
        <w:tabs>
          <w:tab w:val="left" w:pos="1134"/>
        </w:tabs>
        <w:spacing w:before="240" w:after="24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92D71">
        <w:rPr>
          <w:rFonts w:ascii="Arial" w:hAnsi="Arial" w:cs="Arial"/>
          <w:b/>
          <w:sz w:val="20"/>
          <w:szCs w:val="20"/>
          <w:u w:val="single"/>
        </w:rPr>
        <w:t>Revitalizace areálu CM Pacov - PD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92D71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BB33A9" w:rsidRPr="00992D71" w:rsidRDefault="00BB33A9" w:rsidP="00BB33A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92D71">
        <w:rPr>
          <w:rFonts w:ascii="Arial" w:hAnsi="Arial" w:cs="Arial"/>
          <w:bCs/>
          <w:sz w:val="20"/>
          <w:szCs w:val="20"/>
        </w:rPr>
        <w:t>Geodetické zaměření předmětného území (výškopisné a polohopisné zaměření) v potřebném rozsahu</w:t>
      </w:r>
    </w:p>
    <w:p w:rsidR="00BB33A9" w:rsidRPr="00992D71" w:rsidRDefault="00BB33A9" w:rsidP="00BB33A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92D71">
        <w:rPr>
          <w:rFonts w:ascii="Arial" w:hAnsi="Arial" w:cs="Arial"/>
          <w:bCs/>
          <w:sz w:val="20"/>
          <w:szCs w:val="20"/>
        </w:rPr>
        <w:t xml:space="preserve">Vypracování projektové dokumentace pro povolení záměru </w:t>
      </w:r>
    </w:p>
    <w:p w:rsidR="00BB33A9" w:rsidRPr="00992D71" w:rsidRDefault="00BB33A9" w:rsidP="00BB33A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92D71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povolení záměru k příslušnému stavebnímu úřadu</w:t>
      </w:r>
    </w:p>
    <w:p w:rsidR="00BB33A9" w:rsidRPr="00992D71" w:rsidRDefault="00BB33A9" w:rsidP="00BB33A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92D71">
        <w:rPr>
          <w:rFonts w:ascii="Arial" w:hAnsi="Arial" w:cs="Arial"/>
          <w:bCs/>
          <w:sz w:val="20"/>
          <w:szCs w:val="20"/>
        </w:rPr>
        <w:t>Zajištění povolení záměru</w:t>
      </w:r>
    </w:p>
    <w:p w:rsidR="00BB33A9" w:rsidRPr="00992D71" w:rsidRDefault="00BB33A9" w:rsidP="00BB33A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92D71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BB33A9" w:rsidRPr="00992D71" w:rsidRDefault="00BB33A9" w:rsidP="00BB33A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92D71">
        <w:rPr>
          <w:rFonts w:ascii="Arial" w:hAnsi="Arial" w:cs="Arial"/>
          <w:bCs/>
          <w:sz w:val="20"/>
          <w:szCs w:val="20"/>
        </w:rPr>
        <w:t>Výkon dozoru projektanta při realizaci stavby</w:t>
      </w:r>
    </w:p>
    <w:p w:rsidR="00BB33A9" w:rsidRPr="00992D71" w:rsidRDefault="00BB33A9" w:rsidP="00BB33A9">
      <w:pPr>
        <w:pStyle w:val="Default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PD bude zpracována v souladu s podmínkami a pravidly OPŽP 2021 – 2027, Specifický cíl </w:t>
      </w:r>
      <w:proofErr w:type="gramStart"/>
      <w:r w:rsidRPr="00992D71">
        <w:rPr>
          <w:bCs/>
          <w:color w:val="auto"/>
          <w:sz w:val="20"/>
          <w:szCs w:val="20"/>
          <w:lang w:eastAsia="en-US"/>
        </w:rPr>
        <w:t>1.1., resp.</w:t>
      </w:r>
      <w:proofErr w:type="gramEnd"/>
      <w:r w:rsidRPr="00992D71">
        <w:rPr>
          <w:bCs/>
          <w:color w:val="auto"/>
          <w:sz w:val="20"/>
          <w:szCs w:val="20"/>
          <w:lang w:eastAsia="en-US"/>
        </w:rPr>
        <w:t xml:space="preserve"> 1.2. dle znění 38. výzvy, či případných výzev navazujících, které by vyžadovaly případně aktualizaci PD.</w:t>
      </w:r>
    </w:p>
    <w:p w:rsidR="00BB33A9" w:rsidRPr="00992D71" w:rsidRDefault="00BB33A9" w:rsidP="00BB33A9">
      <w:pPr>
        <w:pStyle w:val="Default"/>
        <w:rPr>
          <w:b/>
          <w:bCs/>
          <w:color w:val="FF0000"/>
          <w:sz w:val="20"/>
          <w:szCs w:val="20"/>
        </w:rPr>
      </w:pPr>
    </w:p>
    <w:p w:rsidR="00BB33A9" w:rsidRPr="00992D71" w:rsidRDefault="00BB33A9" w:rsidP="00BB33A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92D71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1.1.1 – Snížení energetické náročnosti veřejných budov a veřejné infrastruktury </w:t>
      </w:r>
    </w:p>
    <w:p w:rsidR="00BB33A9" w:rsidRPr="00992D71" w:rsidRDefault="00BB33A9" w:rsidP="00BB33A9">
      <w:pPr>
        <w:pStyle w:val="Default"/>
        <w:rPr>
          <w:bCs/>
          <w:color w:val="auto"/>
          <w:sz w:val="20"/>
          <w:szCs w:val="20"/>
          <w:lang w:eastAsia="en-US"/>
        </w:rPr>
      </w:pPr>
    </w:p>
    <w:p w:rsidR="00BB33A9" w:rsidRPr="00992D71" w:rsidRDefault="00BB33A9" w:rsidP="00BB33A9">
      <w:pPr>
        <w:pStyle w:val="Default"/>
        <w:numPr>
          <w:ilvl w:val="0"/>
          <w:numId w:val="36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Komplexní, či návazné stavební úpravy budov vedoucí ke zlepšení tepelně technických vlastností obvodových konstrukcí budovy. </w:t>
      </w:r>
    </w:p>
    <w:p w:rsidR="00BB33A9" w:rsidRPr="00992D71" w:rsidRDefault="00BB33A9" w:rsidP="00BB33A9">
      <w:pPr>
        <w:pStyle w:val="Default"/>
        <w:numPr>
          <w:ilvl w:val="0"/>
          <w:numId w:val="36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Systémy využívající odpadní teplo. </w:t>
      </w:r>
    </w:p>
    <w:p w:rsidR="00BB33A9" w:rsidRPr="00992D71" w:rsidRDefault="00BB33A9" w:rsidP="00BB33A9">
      <w:pPr>
        <w:pStyle w:val="Default"/>
        <w:numPr>
          <w:ilvl w:val="0"/>
          <w:numId w:val="36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Systémy nuceného větrání s rekuperací odpadního tepla. </w:t>
      </w:r>
    </w:p>
    <w:p w:rsidR="00BB33A9" w:rsidRPr="00992D71" w:rsidRDefault="00BB33A9" w:rsidP="00BB33A9">
      <w:pPr>
        <w:pStyle w:val="Default"/>
        <w:numPr>
          <w:ilvl w:val="0"/>
          <w:numId w:val="36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Rekonstrukce otopné soustavy. </w:t>
      </w:r>
    </w:p>
    <w:p w:rsidR="00BB33A9" w:rsidRPr="00992D71" w:rsidRDefault="00BB33A9" w:rsidP="00BB33A9">
      <w:pPr>
        <w:pStyle w:val="Default"/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Ostatní opatření vedoucí ke snížení energetické náročnosti budovy ve všech aspektech jejího provozu např.: zavedení energetického managementu, včetně řídícího softwaru a měřících a řídících prvků pro optimalizaci výroby a spotřeby energie; rekonstrukce předávacích stanic tepla; rekonstrukce teplovodních rozvodů s jednou centrální kotelnou. </w:t>
      </w:r>
    </w:p>
    <w:p w:rsidR="00BB33A9" w:rsidRPr="00992D71" w:rsidRDefault="00BB33A9" w:rsidP="00BB33A9">
      <w:pPr>
        <w:pStyle w:val="Default"/>
        <w:numPr>
          <w:ilvl w:val="1"/>
          <w:numId w:val="36"/>
        </w:numPr>
        <w:adjustRightInd/>
        <w:rPr>
          <w:color w:val="FF0000"/>
          <w:sz w:val="20"/>
          <w:szCs w:val="20"/>
        </w:rPr>
      </w:pPr>
    </w:p>
    <w:p w:rsidR="00BB33A9" w:rsidRPr="00992D71" w:rsidRDefault="00BB33A9" w:rsidP="00BB33A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92D71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992D71">
        <w:rPr>
          <w:b/>
          <w:bCs/>
          <w:color w:val="auto"/>
          <w:sz w:val="20"/>
          <w:szCs w:val="20"/>
          <w:lang w:eastAsia="en-US"/>
        </w:rPr>
        <w:t>1.1.32</w:t>
      </w:r>
      <w:proofErr w:type="gramEnd"/>
      <w:r w:rsidRPr="00992D71">
        <w:rPr>
          <w:b/>
          <w:bCs/>
          <w:color w:val="auto"/>
          <w:sz w:val="20"/>
          <w:szCs w:val="20"/>
          <w:lang w:eastAsia="en-US"/>
        </w:rPr>
        <w:t xml:space="preserve"> – Zlepšení kvality vnitřního prostředí veřejných budov </w:t>
      </w:r>
    </w:p>
    <w:p w:rsidR="00BB33A9" w:rsidRPr="00992D71" w:rsidRDefault="00BB33A9" w:rsidP="00BB33A9">
      <w:pPr>
        <w:pStyle w:val="Default"/>
        <w:numPr>
          <w:ilvl w:val="0"/>
          <w:numId w:val="37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Modernizace vnitřního osvětlení. </w:t>
      </w:r>
    </w:p>
    <w:p w:rsidR="00BB33A9" w:rsidRPr="00992D71" w:rsidRDefault="00BB33A9" w:rsidP="00BB33A9">
      <w:pPr>
        <w:pStyle w:val="Default"/>
        <w:numPr>
          <w:ilvl w:val="0"/>
          <w:numId w:val="37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Opatření k eliminaci negativních akustických jevů. </w:t>
      </w:r>
    </w:p>
    <w:p w:rsidR="00BB33A9" w:rsidRPr="00992D71" w:rsidRDefault="00BB33A9" w:rsidP="00BB33A9">
      <w:pPr>
        <w:pStyle w:val="Default"/>
        <w:numPr>
          <w:ilvl w:val="0"/>
          <w:numId w:val="37"/>
        </w:numPr>
        <w:adjustRightInd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Vnější stínící prvky. </w:t>
      </w:r>
    </w:p>
    <w:p w:rsidR="00BB33A9" w:rsidRPr="00992D71" w:rsidRDefault="00BB33A9" w:rsidP="00BB33A9">
      <w:pPr>
        <w:pStyle w:val="Default"/>
        <w:rPr>
          <w:color w:val="FF0000"/>
          <w:sz w:val="20"/>
          <w:szCs w:val="20"/>
        </w:rPr>
      </w:pPr>
    </w:p>
    <w:p w:rsidR="00BB33A9" w:rsidRPr="00992D71" w:rsidRDefault="00BB33A9" w:rsidP="00BB33A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92D71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992D71">
        <w:rPr>
          <w:b/>
          <w:bCs/>
          <w:color w:val="auto"/>
          <w:sz w:val="20"/>
          <w:szCs w:val="20"/>
          <w:lang w:eastAsia="en-US"/>
        </w:rPr>
        <w:t>1.1.43</w:t>
      </w:r>
      <w:proofErr w:type="gramEnd"/>
      <w:r w:rsidRPr="00992D71">
        <w:rPr>
          <w:b/>
          <w:bCs/>
          <w:color w:val="auto"/>
          <w:sz w:val="20"/>
          <w:szCs w:val="20"/>
          <w:lang w:eastAsia="en-US"/>
        </w:rPr>
        <w:t xml:space="preserve"> – Zvýšení adaptability veřejných budov na změnu klimatu </w:t>
      </w:r>
    </w:p>
    <w:p w:rsidR="00BB33A9" w:rsidRPr="00992D71" w:rsidRDefault="00BB33A9" w:rsidP="00BB33A9">
      <w:pPr>
        <w:pStyle w:val="Default"/>
        <w:numPr>
          <w:ilvl w:val="0"/>
          <w:numId w:val="37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Technologie pro akumulaci, úpravu a rozvod šedých a srážkových vod v budovách za účelem splachování, zálivky, praní a dalších relevantních užití. </w:t>
      </w:r>
    </w:p>
    <w:p w:rsidR="00BB33A9" w:rsidRPr="00992D71" w:rsidRDefault="00BB33A9" w:rsidP="00BB33A9">
      <w:pPr>
        <w:pStyle w:val="Default"/>
        <w:adjustRightInd/>
        <w:rPr>
          <w:color w:val="FF0000"/>
          <w:sz w:val="20"/>
          <w:szCs w:val="20"/>
        </w:rPr>
      </w:pPr>
    </w:p>
    <w:p w:rsidR="00BB33A9" w:rsidRPr="00992D71" w:rsidRDefault="00BB33A9" w:rsidP="00BB33A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92D71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992D71">
        <w:rPr>
          <w:b/>
          <w:bCs/>
          <w:color w:val="auto"/>
          <w:sz w:val="20"/>
          <w:szCs w:val="20"/>
          <w:lang w:eastAsia="en-US"/>
        </w:rPr>
        <w:t>1.2.14</w:t>
      </w:r>
      <w:proofErr w:type="gramEnd"/>
      <w:r w:rsidRPr="00992D71">
        <w:rPr>
          <w:b/>
          <w:bCs/>
          <w:color w:val="auto"/>
          <w:sz w:val="20"/>
          <w:szCs w:val="20"/>
          <w:lang w:eastAsia="en-US"/>
        </w:rPr>
        <w:t xml:space="preserve"> – Výstavba a rekonstrukce obnovitelných zdrojů energie pro veřejné budovy </w:t>
      </w:r>
    </w:p>
    <w:p w:rsidR="00BB33A9" w:rsidRPr="00992D71" w:rsidRDefault="00BB33A9" w:rsidP="00BB33A9">
      <w:pPr>
        <w:pStyle w:val="Default"/>
        <w:numPr>
          <w:ilvl w:val="0"/>
          <w:numId w:val="37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Výměna zdroje pro vytápění, chlazení nebo přípravu teplé vody využívajícího fosilní paliva nebo elektrickou energii za: tepelné čerpadlo, kotel na biomasu, zařízení pro kombinovanou výrobu elektřiny a tepla či chladu využívající OZE (obnovitelné zdroje energie). </w:t>
      </w:r>
    </w:p>
    <w:p w:rsidR="00BB33A9" w:rsidRPr="00992D71" w:rsidRDefault="00BB33A9" w:rsidP="00BB33A9">
      <w:pPr>
        <w:pStyle w:val="Default"/>
        <w:rPr>
          <w:color w:val="FF0000"/>
          <w:sz w:val="20"/>
          <w:szCs w:val="20"/>
        </w:rPr>
      </w:pPr>
    </w:p>
    <w:p w:rsidR="00BB33A9" w:rsidRPr="00992D71" w:rsidRDefault="00BB33A9" w:rsidP="00BB33A9">
      <w:pPr>
        <w:pStyle w:val="Default"/>
        <w:adjustRightInd/>
        <w:spacing w:after="83"/>
        <w:rPr>
          <w:b/>
          <w:bCs/>
          <w:color w:val="auto"/>
          <w:sz w:val="20"/>
          <w:szCs w:val="20"/>
          <w:lang w:eastAsia="en-US"/>
        </w:rPr>
      </w:pPr>
      <w:r w:rsidRPr="00992D71">
        <w:rPr>
          <w:b/>
          <w:bCs/>
          <w:color w:val="auto"/>
          <w:sz w:val="20"/>
          <w:szCs w:val="20"/>
          <w:lang w:eastAsia="en-US"/>
        </w:rPr>
        <w:t xml:space="preserve">Součástí projektu může být i rekonstrukce otopné soustavy. </w:t>
      </w:r>
    </w:p>
    <w:p w:rsidR="00BB33A9" w:rsidRPr="00992D71" w:rsidRDefault="00BB33A9" w:rsidP="00BB33A9">
      <w:pPr>
        <w:pStyle w:val="Default"/>
        <w:numPr>
          <w:ilvl w:val="0"/>
          <w:numId w:val="37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lastRenderedPageBreak/>
        <w:t xml:space="preserve">Instalace solárně – termických systémů. </w:t>
      </w:r>
    </w:p>
    <w:p w:rsidR="00BB33A9" w:rsidRPr="00992D71" w:rsidRDefault="00BB33A9" w:rsidP="00BB33A9">
      <w:pPr>
        <w:pStyle w:val="Default"/>
        <w:numPr>
          <w:ilvl w:val="0"/>
          <w:numId w:val="37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Instalace </w:t>
      </w:r>
      <w:proofErr w:type="spellStart"/>
      <w:r w:rsidRPr="00992D71">
        <w:rPr>
          <w:bCs/>
          <w:color w:val="auto"/>
          <w:sz w:val="20"/>
          <w:szCs w:val="20"/>
          <w:lang w:eastAsia="en-US"/>
        </w:rPr>
        <w:t>fotovoltaických</w:t>
      </w:r>
      <w:proofErr w:type="spellEnd"/>
      <w:r w:rsidRPr="00992D71">
        <w:rPr>
          <w:bCs/>
          <w:color w:val="auto"/>
          <w:sz w:val="20"/>
          <w:szCs w:val="20"/>
          <w:lang w:eastAsia="en-US"/>
        </w:rPr>
        <w:t xml:space="preserve"> systémů. </w:t>
      </w:r>
    </w:p>
    <w:p w:rsidR="00BB33A9" w:rsidRPr="00992D71" w:rsidRDefault="00BB33A9" w:rsidP="00BB33A9">
      <w:pPr>
        <w:pStyle w:val="Default"/>
        <w:numPr>
          <w:ilvl w:val="0"/>
          <w:numId w:val="37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Rekonstrukce, či výměna stávajícího OZE za OZE. </w:t>
      </w:r>
    </w:p>
    <w:p w:rsidR="00BB33A9" w:rsidRPr="00992D71" w:rsidRDefault="00BB33A9" w:rsidP="00BB33A9">
      <w:pPr>
        <w:pStyle w:val="Default"/>
        <w:numPr>
          <w:ilvl w:val="0"/>
          <w:numId w:val="37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 xml:space="preserve">Zavedení energetického managementu včetně řídícího softwaru a měřících a řídících prvků pro optimalizaci výroby a spotřeby energie. </w:t>
      </w:r>
    </w:p>
    <w:p w:rsidR="00BB33A9" w:rsidRPr="00992D71" w:rsidRDefault="00BB33A9" w:rsidP="00BB33A9">
      <w:pPr>
        <w:pStyle w:val="Default"/>
        <w:adjustRightInd/>
        <w:rPr>
          <w:color w:val="FF0000"/>
          <w:sz w:val="20"/>
          <w:szCs w:val="20"/>
        </w:rPr>
      </w:pPr>
    </w:p>
    <w:p w:rsidR="00BB33A9" w:rsidRPr="00992D71" w:rsidRDefault="00BB33A9" w:rsidP="00BB33A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992D71">
        <w:rPr>
          <w:b/>
          <w:bCs/>
          <w:color w:val="auto"/>
          <w:sz w:val="20"/>
          <w:szCs w:val="20"/>
          <w:lang w:eastAsia="en-US"/>
        </w:rPr>
        <w:t xml:space="preserve">Určení výše podpory: </w:t>
      </w:r>
    </w:p>
    <w:p w:rsidR="00BB33A9" w:rsidRPr="00992D71" w:rsidRDefault="00BB33A9" w:rsidP="00BB33A9">
      <w:pPr>
        <w:pStyle w:val="Default"/>
        <w:numPr>
          <w:ilvl w:val="0"/>
          <w:numId w:val="37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992D71">
        <w:rPr>
          <w:bCs/>
          <w:color w:val="auto"/>
          <w:sz w:val="20"/>
          <w:szCs w:val="20"/>
          <w:lang w:eastAsia="en-US"/>
        </w:rPr>
        <w:t>Detailní informace o výši podpory jsou uvedeny v Pravidlech pro žadatele a příjemce podpory v OPŽP pro období 2021–2027, resp. Výpočtovým nástrojem, který je nedílnou součástí výzvy.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highlight w:val="yellow"/>
          <w:lang w:eastAsia="cs-CZ"/>
        </w:rPr>
      </w:pPr>
    </w:p>
    <w:p w:rsidR="00BB33A9" w:rsidRPr="00992D71" w:rsidRDefault="00BB33A9" w:rsidP="00BB33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</w:pPr>
      <w:r w:rsidRPr="00992D71">
        <w:rPr>
          <w:rFonts w:ascii="Arial" w:hAnsi="Arial" w:cs="Arial"/>
          <w:bCs/>
          <w:sz w:val="20"/>
          <w:szCs w:val="20"/>
        </w:rPr>
        <w:t xml:space="preserve">Pozemek KSÚSV se nachází na adrese: </w:t>
      </w:r>
      <w:r w:rsidRPr="00992D71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Nádražní 1065, 395 01 Pacov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  <w:r w:rsidRPr="00992D71">
        <w:rPr>
          <w:rFonts w:ascii="Arial" w:hAnsi="Arial" w:cs="Arial"/>
          <w:bCs/>
          <w:sz w:val="20"/>
          <w:szCs w:val="20"/>
        </w:rPr>
        <w:t xml:space="preserve">Pozemek má </w:t>
      </w:r>
      <w:proofErr w:type="spellStart"/>
      <w:r w:rsidRPr="00992D71">
        <w:rPr>
          <w:rFonts w:ascii="Arial" w:hAnsi="Arial" w:cs="Arial"/>
          <w:bCs/>
          <w:sz w:val="20"/>
          <w:szCs w:val="20"/>
        </w:rPr>
        <w:t>parc</w:t>
      </w:r>
      <w:proofErr w:type="spellEnd"/>
      <w:r w:rsidRPr="00992D71">
        <w:rPr>
          <w:rFonts w:ascii="Arial" w:hAnsi="Arial" w:cs="Arial"/>
          <w:bCs/>
          <w:sz w:val="20"/>
          <w:szCs w:val="20"/>
        </w:rPr>
        <w:t xml:space="preserve">. </w:t>
      </w:r>
      <w:proofErr w:type="gramStart"/>
      <w:r w:rsidRPr="00992D71">
        <w:rPr>
          <w:rFonts w:ascii="Arial" w:hAnsi="Arial" w:cs="Arial"/>
          <w:bCs/>
          <w:sz w:val="20"/>
          <w:szCs w:val="20"/>
        </w:rPr>
        <w:t>č.</w:t>
      </w:r>
      <w:proofErr w:type="gramEnd"/>
      <w:r w:rsidRPr="00992D71">
        <w:rPr>
          <w:rFonts w:ascii="Arial" w:hAnsi="Arial" w:cs="Arial"/>
          <w:bCs/>
          <w:sz w:val="20"/>
          <w:szCs w:val="20"/>
        </w:rPr>
        <w:t>: 2136/6 o výměře 3717 m</w:t>
      </w:r>
      <w:r w:rsidRPr="00992D71"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  <w:r w:rsidRPr="00992D71">
        <w:rPr>
          <w:rFonts w:ascii="Arial" w:hAnsi="Arial" w:cs="Arial"/>
          <w:bCs/>
          <w:noProof/>
          <w:sz w:val="20"/>
          <w:szCs w:val="20"/>
          <w:vertAlign w:val="superscript"/>
          <w:lang w:eastAsia="cs-CZ"/>
        </w:rPr>
        <w:drawing>
          <wp:inline distT="0" distB="0" distL="0" distR="0" wp14:anchorId="690CC5C0" wp14:editId="2A0B54DB">
            <wp:extent cx="4253948" cy="39069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9828" cy="3912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highlight w:val="yellow"/>
        </w:rPr>
      </w:pP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992D71">
        <w:rPr>
          <w:rFonts w:ascii="Arial" w:hAnsi="Arial" w:cs="Arial"/>
          <w:b/>
          <w:sz w:val="20"/>
          <w:szCs w:val="20"/>
          <w:u w:val="single"/>
        </w:rPr>
        <w:t>Požadavky objednatele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Cílem revitalizace areálu CM Pacov je </w:t>
      </w:r>
      <w:r w:rsidRPr="00992D71">
        <w:rPr>
          <w:rStyle w:val="Siln"/>
          <w:rFonts w:ascii="Arial" w:hAnsi="Arial" w:cs="Arial"/>
          <w:b w:val="0"/>
          <w:sz w:val="20"/>
          <w:szCs w:val="20"/>
        </w:rPr>
        <w:t>snížení energetické náročnosti administrativní budovy a přilehlého areálu</w:t>
      </w:r>
      <w:r w:rsidRPr="00992D71">
        <w:rPr>
          <w:rFonts w:ascii="Arial" w:hAnsi="Arial" w:cs="Arial"/>
          <w:sz w:val="20"/>
          <w:szCs w:val="20"/>
        </w:rPr>
        <w:t xml:space="preserve">, zajištění </w:t>
      </w:r>
      <w:r w:rsidRPr="00992D71">
        <w:rPr>
          <w:rStyle w:val="Siln"/>
          <w:rFonts w:ascii="Arial" w:hAnsi="Arial" w:cs="Arial"/>
          <w:b w:val="0"/>
          <w:sz w:val="20"/>
          <w:szCs w:val="20"/>
        </w:rPr>
        <w:t>efektivního a ekologického provozu technologií</w:t>
      </w:r>
      <w:r w:rsidRPr="00992D71">
        <w:rPr>
          <w:rFonts w:ascii="Arial" w:hAnsi="Arial" w:cs="Arial"/>
          <w:b/>
          <w:sz w:val="20"/>
          <w:szCs w:val="20"/>
        </w:rPr>
        <w:t>,</w:t>
      </w:r>
      <w:r w:rsidRPr="00992D71">
        <w:rPr>
          <w:rFonts w:ascii="Arial" w:hAnsi="Arial" w:cs="Arial"/>
          <w:sz w:val="20"/>
          <w:szCs w:val="20"/>
        </w:rPr>
        <w:t xml:space="preserve"> a zároveň </w:t>
      </w:r>
      <w:r w:rsidRPr="00992D71">
        <w:rPr>
          <w:rStyle w:val="Siln"/>
          <w:rFonts w:ascii="Arial" w:hAnsi="Arial" w:cs="Arial"/>
          <w:b w:val="0"/>
          <w:sz w:val="20"/>
          <w:szCs w:val="20"/>
        </w:rPr>
        <w:t>zlepšení</w:t>
      </w:r>
      <w:r w:rsidRPr="00992D71">
        <w:rPr>
          <w:rStyle w:val="Siln"/>
          <w:rFonts w:ascii="Arial" w:hAnsi="Arial" w:cs="Arial"/>
          <w:sz w:val="20"/>
          <w:szCs w:val="20"/>
        </w:rPr>
        <w:t xml:space="preserve"> </w:t>
      </w:r>
      <w:r w:rsidRPr="00992D71">
        <w:rPr>
          <w:rStyle w:val="Siln"/>
          <w:rFonts w:ascii="Arial" w:hAnsi="Arial" w:cs="Arial"/>
          <w:b w:val="0"/>
          <w:sz w:val="20"/>
          <w:szCs w:val="20"/>
        </w:rPr>
        <w:t>technického a funkčního stavu</w:t>
      </w:r>
      <w:r w:rsidRPr="00992D71">
        <w:rPr>
          <w:rFonts w:ascii="Arial" w:hAnsi="Arial" w:cs="Arial"/>
          <w:sz w:val="20"/>
          <w:szCs w:val="20"/>
        </w:rPr>
        <w:t xml:space="preserve"> jednotlivých částí areálu.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92D71">
        <w:rPr>
          <w:rFonts w:ascii="Arial" w:hAnsi="Arial" w:cs="Arial"/>
          <w:b/>
          <w:sz w:val="20"/>
          <w:szCs w:val="20"/>
        </w:rPr>
        <w:t>Administrativní budova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992D71">
        <w:rPr>
          <w:rStyle w:val="Siln"/>
          <w:rFonts w:ascii="Arial" w:hAnsi="Arial" w:cs="Arial"/>
          <w:b w:val="0"/>
          <w:bCs w:val="0"/>
          <w:sz w:val="20"/>
          <w:szCs w:val="20"/>
          <w:u w:val="single"/>
        </w:rPr>
        <w:t>Snížení energetické náročnosti budovy</w:t>
      </w:r>
    </w:p>
    <w:p w:rsidR="00BB33A9" w:rsidRPr="00992D71" w:rsidRDefault="00BB33A9" w:rsidP="00BB33A9">
      <w:pPr>
        <w:pStyle w:val="Normlnweb"/>
        <w:numPr>
          <w:ilvl w:val="0"/>
          <w:numId w:val="28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Zateplení fasády administrativní budovy.</w:t>
      </w:r>
    </w:p>
    <w:p w:rsidR="00BB33A9" w:rsidRPr="00992D71" w:rsidRDefault="00BB33A9" w:rsidP="00BB33A9">
      <w:pPr>
        <w:pStyle w:val="Normlnweb"/>
        <w:numPr>
          <w:ilvl w:val="0"/>
          <w:numId w:val="28"/>
        </w:numPr>
        <w:spacing w:after="0" w:afterAutospacing="0"/>
        <w:rPr>
          <w:rStyle w:val="Siln"/>
          <w:rFonts w:ascii="Arial" w:hAnsi="Arial" w:cs="Arial"/>
          <w:b w:val="0"/>
          <w:bCs w:val="0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Výměna okenních výplní.</w:t>
      </w:r>
    </w:p>
    <w:p w:rsidR="00BB33A9" w:rsidRPr="00992D71" w:rsidRDefault="00BB33A9" w:rsidP="00BB33A9">
      <w:pPr>
        <w:pStyle w:val="Normlnweb"/>
        <w:numPr>
          <w:ilvl w:val="0"/>
          <w:numId w:val="28"/>
        </w:numPr>
        <w:spacing w:after="0" w:afterAutospacing="0"/>
        <w:rPr>
          <w:rFonts w:ascii="Arial" w:hAnsi="Arial" w:cs="Arial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 xml:space="preserve">Prověření zateplení střechy </w:t>
      </w:r>
    </w:p>
    <w:p w:rsidR="00BB33A9" w:rsidRPr="00992D71" w:rsidRDefault="00BB33A9" w:rsidP="00BB33A9">
      <w:pPr>
        <w:pStyle w:val="Nadpis3"/>
        <w:spacing w:before="0"/>
        <w:rPr>
          <w:rFonts w:ascii="Arial" w:hAnsi="Arial" w:cs="Arial"/>
          <w:color w:val="auto"/>
          <w:sz w:val="20"/>
          <w:szCs w:val="20"/>
          <w:u w:val="single"/>
        </w:rPr>
      </w:pPr>
      <w:r w:rsidRPr="00992D71">
        <w:rPr>
          <w:rStyle w:val="Siln"/>
          <w:rFonts w:ascii="Arial" w:hAnsi="Arial" w:cs="Arial"/>
          <w:b w:val="0"/>
          <w:bCs w:val="0"/>
          <w:color w:val="auto"/>
          <w:sz w:val="20"/>
          <w:szCs w:val="20"/>
          <w:u w:val="single"/>
        </w:rPr>
        <w:lastRenderedPageBreak/>
        <w:t>Vytápění</w:t>
      </w:r>
    </w:p>
    <w:p w:rsidR="00BB33A9" w:rsidRPr="00992D71" w:rsidRDefault="00BB33A9" w:rsidP="00BB33A9">
      <w:pPr>
        <w:pStyle w:val="Normlnweb"/>
        <w:numPr>
          <w:ilvl w:val="0"/>
          <w:numId w:val="29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Stávající stav:</w:t>
      </w:r>
    </w:p>
    <w:p w:rsidR="00BB33A9" w:rsidRPr="00992D71" w:rsidRDefault="00BB33A9" w:rsidP="00BB33A9">
      <w:pPr>
        <w:pStyle w:val="Normlnweb"/>
        <w:numPr>
          <w:ilvl w:val="1"/>
          <w:numId w:val="29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Vytápění pomocí </w:t>
      </w:r>
      <w:r w:rsidRPr="00992D71">
        <w:rPr>
          <w:rStyle w:val="Siln"/>
          <w:rFonts w:ascii="Arial" w:hAnsi="Arial" w:cs="Arial"/>
          <w:b w:val="0"/>
          <w:sz w:val="20"/>
          <w:szCs w:val="20"/>
        </w:rPr>
        <w:t>plynového kotle</w:t>
      </w:r>
      <w:r w:rsidRPr="00992D71">
        <w:rPr>
          <w:rFonts w:ascii="Arial" w:hAnsi="Arial" w:cs="Arial"/>
          <w:sz w:val="20"/>
          <w:szCs w:val="20"/>
        </w:rPr>
        <w:t>.</w:t>
      </w:r>
    </w:p>
    <w:p w:rsidR="00BB33A9" w:rsidRPr="00992D71" w:rsidRDefault="00BB33A9" w:rsidP="00BB33A9">
      <w:pPr>
        <w:pStyle w:val="Normlnweb"/>
        <w:numPr>
          <w:ilvl w:val="1"/>
          <w:numId w:val="29"/>
        </w:numPr>
        <w:spacing w:after="0" w:afterAutospacing="0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V komíně dochází ke kondenzaci vody</w:t>
      </w:r>
    </w:p>
    <w:p w:rsidR="00BB33A9" w:rsidRPr="00992D71" w:rsidRDefault="00BB33A9" w:rsidP="00BB33A9">
      <w:pPr>
        <w:pStyle w:val="Normlnweb"/>
        <w:numPr>
          <w:ilvl w:val="1"/>
          <w:numId w:val="29"/>
        </w:numPr>
        <w:spacing w:after="0" w:afterAutospacing="0"/>
        <w:rPr>
          <w:rFonts w:ascii="Arial" w:hAnsi="Arial" w:cs="Arial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Rozvody topení</w:t>
      </w:r>
      <w:r w:rsidRPr="00992D71">
        <w:rPr>
          <w:rFonts w:ascii="Arial" w:hAnsi="Arial" w:cs="Arial"/>
          <w:sz w:val="20"/>
          <w:szCs w:val="20"/>
        </w:rPr>
        <w:t xml:space="preserve"> z roku </w:t>
      </w:r>
      <w:r w:rsidRPr="00992D71">
        <w:rPr>
          <w:rStyle w:val="Siln"/>
          <w:rFonts w:ascii="Arial" w:hAnsi="Arial" w:cs="Arial"/>
          <w:b w:val="0"/>
          <w:sz w:val="20"/>
          <w:szCs w:val="20"/>
        </w:rPr>
        <w:t>1993</w:t>
      </w:r>
      <w:r w:rsidRPr="00992D71">
        <w:rPr>
          <w:rFonts w:ascii="Arial" w:hAnsi="Arial" w:cs="Arial"/>
          <w:sz w:val="20"/>
          <w:szCs w:val="20"/>
        </w:rPr>
        <w:t xml:space="preserve">, </w:t>
      </w:r>
      <w:r w:rsidRPr="00992D71">
        <w:rPr>
          <w:rStyle w:val="Siln"/>
          <w:rFonts w:ascii="Arial" w:hAnsi="Arial" w:cs="Arial"/>
          <w:b w:val="0"/>
          <w:sz w:val="20"/>
          <w:szCs w:val="20"/>
        </w:rPr>
        <w:t>bez aktuálních závad</w:t>
      </w:r>
      <w:r w:rsidRPr="00992D71">
        <w:rPr>
          <w:rFonts w:ascii="Arial" w:hAnsi="Arial" w:cs="Arial"/>
          <w:sz w:val="20"/>
          <w:szCs w:val="20"/>
        </w:rPr>
        <w:t>.</w:t>
      </w:r>
    </w:p>
    <w:p w:rsidR="00BB33A9" w:rsidRPr="00992D71" w:rsidRDefault="00BB33A9" w:rsidP="00BB33A9">
      <w:pPr>
        <w:pStyle w:val="Normlnweb"/>
        <w:numPr>
          <w:ilvl w:val="0"/>
          <w:numId w:val="29"/>
        </w:numPr>
        <w:spacing w:after="0" w:afterAutospacing="0"/>
        <w:rPr>
          <w:rFonts w:ascii="Arial" w:hAnsi="Arial" w:cs="Arial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Požadavek:</w:t>
      </w:r>
    </w:p>
    <w:p w:rsidR="00BB33A9" w:rsidRPr="00992D71" w:rsidRDefault="00BB33A9" w:rsidP="00BB33A9">
      <w:pPr>
        <w:pStyle w:val="Normlnweb"/>
        <w:numPr>
          <w:ilvl w:val="1"/>
          <w:numId w:val="29"/>
        </w:numPr>
        <w:spacing w:after="0" w:afterAutospacing="0"/>
        <w:rPr>
          <w:rFonts w:ascii="Arial" w:hAnsi="Arial" w:cs="Arial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Zpracovat projekt vytápění.</w:t>
      </w:r>
    </w:p>
    <w:p w:rsidR="00BB33A9" w:rsidRPr="00992D71" w:rsidRDefault="00BB33A9" w:rsidP="00BB33A9">
      <w:pPr>
        <w:pStyle w:val="Normlnweb"/>
        <w:numPr>
          <w:ilvl w:val="1"/>
          <w:numId w:val="29"/>
        </w:numPr>
        <w:spacing w:after="0" w:afterAutospacing="0"/>
        <w:rPr>
          <w:rFonts w:ascii="Arial" w:hAnsi="Arial" w:cs="Arial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Prověřit současný stav</w:t>
      </w:r>
      <w:r w:rsidRPr="00992D71">
        <w:rPr>
          <w:rFonts w:ascii="Arial" w:hAnsi="Arial" w:cs="Arial"/>
          <w:sz w:val="20"/>
          <w:szCs w:val="20"/>
        </w:rPr>
        <w:t xml:space="preserve"> a </w:t>
      </w:r>
      <w:r w:rsidRPr="00992D71">
        <w:rPr>
          <w:rStyle w:val="Siln"/>
          <w:rFonts w:ascii="Arial" w:hAnsi="Arial" w:cs="Arial"/>
          <w:b w:val="0"/>
          <w:sz w:val="20"/>
          <w:szCs w:val="20"/>
        </w:rPr>
        <w:t>navrhnout nejvhodnější variantu</w:t>
      </w:r>
      <w:r w:rsidRPr="00992D71">
        <w:rPr>
          <w:rFonts w:ascii="Arial" w:hAnsi="Arial" w:cs="Arial"/>
          <w:sz w:val="20"/>
          <w:szCs w:val="20"/>
        </w:rPr>
        <w:t xml:space="preserve"> vytápění (zvážit i </w:t>
      </w:r>
      <w:r w:rsidRPr="00992D71">
        <w:rPr>
          <w:rStyle w:val="Siln"/>
          <w:rFonts w:ascii="Arial" w:hAnsi="Arial" w:cs="Arial"/>
          <w:b w:val="0"/>
          <w:sz w:val="20"/>
          <w:szCs w:val="20"/>
        </w:rPr>
        <w:t>tepelné čerpadlo</w:t>
      </w:r>
      <w:r w:rsidRPr="00992D71">
        <w:rPr>
          <w:rFonts w:ascii="Arial" w:hAnsi="Arial" w:cs="Arial"/>
          <w:sz w:val="20"/>
          <w:szCs w:val="20"/>
        </w:rPr>
        <w:t>).</w:t>
      </w:r>
    </w:p>
    <w:p w:rsidR="00BB33A9" w:rsidRPr="00992D71" w:rsidRDefault="00BB33A9" w:rsidP="00BB33A9">
      <w:pPr>
        <w:pStyle w:val="Normlnweb"/>
        <w:numPr>
          <w:ilvl w:val="1"/>
          <w:numId w:val="29"/>
        </w:numPr>
        <w:spacing w:after="0" w:afterAutospacing="0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Rozvody ponechat, pokud budou vyhovující.</w:t>
      </w:r>
    </w:p>
    <w:p w:rsidR="00BB33A9" w:rsidRPr="00992D71" w:rsidRDefault="00BB33A9" w:rsidP="00BB33A9">
      <w:pPr>
        <w:pStyle w:val="Nadpis3"/>
        <w:spacing w:before="0"/>
        <w:rPr>
          <w:rFonts w:ascii="Arial" w:hAnsi="Arial" w:cs="Arial"/>
          <w:color w:val="auto"/>
          <w:sz w:val="20"/>
          <w:szCs w:val="20"/>
          <w:u w:val="single"/>
        </w:rPr>
      </w:pPr>
      <w:r w:rsidRPr="00992D71">
        <w:rPr>
          <w:rStyle w:val="Siln"/>
          <w:rFonts w:ascii="Arial" w:hAnsi="Arial" w:cs="Arial"/>
          <w:b w:val="0"/>
          <w:bCs w:val="0"/>
          <w:color w:val="auto"/>
          <w:sz w:val="20"/>
          <w:szCs w:val="20"/>
          <w:u w:val="single"/>
        </w:rPr>
        <w:t>Ohřev teplé užitkové vody</w:t>
      </w:r>
    </w:p>
    <w:p w:rsidR="00BB33A9" w:rsidRPr="00992D71" w:rsidRDefault="00BB33A9" w:rsidP="00BB33A9">
      <w:pPr>
        <w:pStyle w:val="Normlnweb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Zvážit vhodné řešení ohřevu TUV.</w:t>
      </w:r>
    </w:p>
    <w:p w:rsidR="00BB33A9" w:rsidRPr="00992D71" w:rsidRDefault="00BB33A9" w:rsidP="00BB33A9">
      <w:pPr>
        <w:pStyle w:val="Normlnweb"/>
        <w:numPr>
          <w:ilvl w:val="0"/>
          <w:numId w:val="30"/>
        </w:numPr>
        <w:spacing w:after="0" w:afterAutospacing="0"/>
        <w:rPr>
          <w:rStyle w:val="Siln"/>
          <w:rFonts w:ascii="Arial" w:hAnsi="Arial" w:cs="Arial"/>
          <w:b w:val="0"/>
          <w:bCs w:val="0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Zvážit zavedení cirkulace TUV.</w:t>
      </w:r>
    </w:p>
    <w:p w:rsidR="00BB33A9" w:rsidRPr="00992D71" w:rsidRDefault="00BB33A9" w:rsidP="00BB33A9">
      <w:pPr>
        <w:pStyle w:val="Normlnweb"/>
        <w:spacing w:after="0" w:afterAutospacing="0"/>
        <w:ind w:left="720"/>
        <w:rPr>
          <w:rFonts w:ascii="Arial" w:hAnsi="Arial" w:cs="Arial"/>
          <w:sz w:val="20"/>
          <w:szCs w:val="20"/>
        </w:rPr>
      </w:pPr>
    </w:p>
    <w:p w:rsidR="00BB33A9" w:rsidRPr="00992D71" w:rsidRDefault="00BB33A9" w:rsidP="00BB33A9">
      <w:pPr>
        <w:pStyle w:val="Nadpis3"/>
        <w:spacing w:before="0"/>
        <w:rPr>
          <w:rStyle w:val="Siln"/>
          <w:rFonts w:ascii="Arial" w:hAnsi="Arial" w:cs="Arial"/>
          <w:bCs w:val="0"/>
          <w:color w:val="auto"/>
          <w:sz w:val="20"/>
          <w:szCs w:val="20"/>
        </w:rPr>
      </w:pPr>
      <w:r w:rsidRPr="00992D71">
        <w:rPr>
          <w:rStyle w:val="Siln"/>
          <w:rFonts w:ascii="Arial" w:hAnsi="Arial" w:cs="Arial"/>
          <w:bCs w:val="0"/>
          <w:color w:val="auto"/>
          <w:sz w:val="20"/>
          <w:szCs w:val="20"/>
        </w:rPr>
        <w:t>Areál</w:t>
      </w:r>
    </w:p>
    <w:p w:rsidR="00BB33A9" w:rsidRPr="00992D71" w:rsidRDefault="00BB33A9" w:rsidP="00BB33A9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  <w:u w:val="single"/>
        </w:rPr>
      </w:pPr>
      <w:r w:rsidRPr="00992D71">
        <w:rPr>
          <w:rStyle w:val="Siln"/>
          <w:rFonts w:ascii="Arial" w:hAnsi="Arial" w:cs="Arial"/>
          <w:b w:val="0"/>
          <w:bCs w:val="0"/>
          <w:sz w:val="20"/>
          <w:szCs w:val="20"/>
          <w:u w:val="single"/>
        </w:rPr>
        <w:t xml:space="preserve">Vybudování </w:t>
      </w:r>
      <w:proofErr w:type="spellStart"/>
      <w:r w:rsidRPr="00992D71">
        <w:rPr>
          <w:rStyle w:val="Siln"/>
          <w:rFonts w:ascii="Arial" w:hAnsi="Arial" w:cs="Arial"/>
          <w:b w:val="0"/>
          <w:bCs w:val="0"/>
          <w:sz w:val="20"/>
          <w:szCs w:val="20"/>
          <w:u w:val="single"/>
        </w:rPr>
        <w:t>solankového</w:t>
      </w:r>
      <w:proofErr w:type="spellEnd"/>
      <w:r w:rsidRPr="00992D71">
        <w:rPr>
          <w:rStyle w:val="Siln"/>
          <w:rFonts w:ascii="Arial" w:hAnsi="Arial" w:cs="Arial"/>
          <w:b w:val="0"/>
          <w:bCs w:val="0"/>
          <w:sz w:val="20"/>
          <w:szCs w:val="20"/>
          <w:u w:val="single"/>
        </w:rPr>
        <w:t xml:space="preserve"> hospodářství</w:t>
      </w:r>
    </w:p>
    <w:p w:rsidR="00BB33A9" w:rsidRPr="00992D71" w:rsidRDefault="00BB33A9" w:rsidP="00BB33A9">
      <w:pPr>
        <w:pStyle w:val="Nadpis3"/>
        <w:numPr>
          <w:ilvl w:val="0"/>
          <w:numId w:val="35"/>
        </w:numPr>
        <w:spacing w:before="0"/>
        <w:rPr>
          <w:rStyle w:val="Siln"/>
          <w:rFonts w:ascii="Arial" w:hAnsi="Arial" w:cs="Arial"/>
          <w:b w:val="0"/>
          <w:bCs w:val="0"/>
          <w:color w:val="auto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bCs w:val="0"/>
          <w:color w:val="auto"/>
          <w:sz w:val="20"/>
          <w:szCs w:val="20"/>
        </w:rPr>
        <w:t xml:space="preserve">V SZ rohu dvora odstranit stávající přístřešek a na vzniklém prostranství vybudovat </w:t>
      </w:r>
      <w:proofErr w:type="spellStart"/>
      <w:r w:rsidRPr="00992D71">
        <w:rPr>
          <w:rStyle w:val="Siln"/>
          <w:rFonts w:ascii="Arial" w:hAnsi="Arial" w:cs="Arial"/>
          <w:b w:val="0"/>
          <w:bCs w:val="0"/>
          <w:color w:val="auto"/>
          <w:sz w:val="20"/>
          <w:szCs w:val="20"/>
        </w:rPr>
        <w:t>solankové</w:t>
      </w:r>
      <w:proofErr w:type="spellEnd"/>
      <w:r w:rsidRPr="00992D71">
        <w:rPr>
          <w:rStyle w:val="Siln"/>
          <w:rFonts w:ascii="Arial" w:hAnsi="Arial" w:cs="Arial"/>
          <w:b w:val="0"/>
          <w:bCs w:val="0"/>
          <w:color w:val="auto"/>
          <w:sz w:val="20"/>
          <w:szCs w:val="20"/>
        </w:rPr>
        <w:t xml:space="preserve"> hospodářství </w:t>
      </w:r>
      <w:r w:rsidRPr="00992D71">
        <w:rPr>
          <w:rStyle w:val="Siln"/>
          <w:rFonts w:ascii="Arial" w:hAnsi="Arial" w:cs="Arial"/>
          <w:b w:val="0"/>
          <w:color w:val="auto"/>
          <w:sz w:val="20"/>
          <w:szCs w:val="20"/>
        </w:rPr>
        <w:t>s pohotovostním skladem na sůl či násypkou.</w:t>
      </w:r>
    </w:p>
    <w:p w:rsidR="00BB33A9" w:rsidRPr="00992D71" w:rsidRDefault="00BB33A9" w:rsidP="00BB33A9">
      <w:pPr>
        <w:pStyle w:val="Nadpis3"/>
        <w:spacing w:before="0"/>
        <w:rPr>
          <w:rFonts w:ascii="Arial" w:hAnsi="Arial" w:cs="Arial"/>
          <w:color w:val="auto"/>
          <w:sz w:val="20"/>
          <w:szCs w:val="20"/>
          <w:u w:val="single"/>
        </w:rPr>
      </w:pPr>
      <w:r w:rsidRPr="00992D71">
        <w:rPr>
          <w:rStyle w:val="Siln"/>
          <w:rFonts w:ascii="Arial" w:hAnsi="Arial" w:cs="Arial"/>
          <w:b w:val="0"/>
          <w:bCs w:val="0"/>
          <w:color w:val="auto"/>
          <w:sz w:val="20"/>
          <w:szCs w:val="20"/>
          <w:u w:val="single"/>
        </w:rPr>
        <w:t>Retenční nádrže</w:t>
      </w:r>
    </w:p>
    <w:p w:rsidR="00BB33A9" w:rsidRPr="00992D71" w:rsidRDefault="00BB33A9" w:rsidP="00BB33A9">
      <w:pPr>
        <w:pStyle w:val="Normln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Navrhnout instalaci retenčních nádrží</w:t>
      </w:r>
      <w:r w:rsidRPr="00992D71">
        <w:rPr>
          <w:rFonts w:ascii="Arial" w:hAnsi="Arial" w:cs="Arial"/>
          <w:sz w:val="20"/>
          <w:szCs w:val="20"/>
        </w:rPr>
        <w:t xml:space="preserve"> pro zachytávání dešťové vody a její využití k </w:t>
      </w:r>
      <w:proofErr w:type="spellStart"/>
      <w:r w:rsidRPr="00992D71">
        <w:rPr>
          <w:rFonts w:ascii="Arial" w:hAnsi="Arial" w:cs="Arial"/>
          <w:sz w:val="20"/>
          <w:szCs w:val="20"/>
        </w:rPr>
        <w:t>solankovému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hospodářství či plnění </w:t>
      </w:r>
      <w:proofErr w:type="gramStart"/>
      <w:r w:rsidRPr="00992D71">
        <w:rPr>
          <w:rFonts w:ascii="Arial" w:hAnsi="Arial" w:cs="Arial"/>
          <w:sz w:val="20"/>
          <w:szCs w:val="20"/>
        </w:rPr>
        <w:t>kropících</w:t>
      </w:r>
      <w:proofErr w:type="gramEnd"/>
      <w:r w:rsidRPr="00992D71">
        <w:rPr>
          <w:rFonts w:ascii="Arial" w:hAnsi="Arial" w:cs="Arial"/>
          <w:sz w:val="20"/>
          <w:szCs w:val="20"/>
        </w:rPr>
        <w:t xml:space="preserve"> vozů.</w:t>
      </w:r>
    </w:p>
    <w:p w:rsidR="00BB33A9" w:rsidRPr="00992D71" w:rsidRDefault="00BB33A9" w:rsidP="00BB33A9">
      <w:pPr>
        <w:pStyle w:val="Nadpis3"/>
        <w:spacing w:before="0"/>
        <w:rPr>
          <w:rFonts w:ascii="Arial" w:hAnsi="Arial" w:cs="Arial"/>
          <w:color w:val="auto"/>
          <w:sz w:val="20"/>
          <w:szCs w:val="20"/>
          <w:u w:val="single"/>
        </w:rPr>
      </w:pPr>
      <w:r w:rsidRPr="00992D71">
        <w:rPr>
          <w:rStyle w:val="Siln"/>
          <w:rFonts w:ascii="Arial" w:hAnsi="Arial" w:cs="Arial"/>
          <w:b w:val="0"/>
          <w:bCs w:val="0"/>
          <w:color w:val="auto"/>
          <w:sz w:val="20"/>
          <w:szCs w:val="20"/>
          <w:u w:val="single"/>
        </w:rPr>
        <w:t>Osvětlení areálu</w:t>
      </w:r>
    </w:p>
    <w:p w:rsidR="00BB33A9" w:rsidRPr="00992D71" w:rsidRDefault="00BB33A9" w:rsidP="00BB33A9">
      <w:pPr>
        <w:pStyle w:val="Normlnweb"/>
        <w:numPr>
          <w:ilvl w:val="0"/>
          <w:numId w:val="31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Prověřit současný stav vnitřního i venkovního osvětlení.</w:t>
      </w:r>
    </w:p>
    <w:p w:rsidR="00BB33A9" w:rsidRPr="00992D71" w:rsidRDefault="00BB33A9" w:rsidP="00BB33A9">
      <w:pPr>
        <w:pStyle w:val="Normlnweb"/>
        <w:numPr>
          <w:ilvl w:val="0"/>
          <w:numId w:val="31"/>
        </w:numPr>
        <w:spacing w:after="0" w:afterAutospacing="0"/>
        <w:rPr>
          <w:rFonts w:ascii="Arial" w:hAnsi="Arial" w:cs="Arial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Navrhnout modernizaci, preferovaně pomocí LED technologií.</w:t>
      </w:r>
    </w:p>
    <w:p w:rsidR="00BB33A9" w:rsidRPr="00992D71" w:rsidRDefault="00BB33A9" w:rsidP="00BB33A9">
      <w:pPr>
        <w:pStyle w:val="Nadpis3"/>
        <w:spacing w:before="0"/>
        <w:rPr>
          <w:rFonts w:ascii="Arial" w:hAnsi="Arial" w:cs="Arial"/>
          <w:color w:val="auto"/>
          <w:sz w:val="20"/>
          <w:szCs w:val="20"/>
          <w:u w:val="single"/>
        </w:rPr>
      </w:pPr>
      <w:r w:rsidRPr="00992D71">
        <w:rPr>
          <w:rStyle w:val="Siln"/>
          <w:rFonts w:ascii="Arial" w:hAnsi="Arial" w:cs="Arial"/>
          <w:b w:val="0"/>
          <w:bCs w:val="0"/>
          <w:color w:val="auto"/>
          <w:sz w:val="20"/>
          <w:szCs w:val="20"/>
          <w:u w:val="single"/>
        </w:rPr>
        <w:t>Vstupní brána</w:t>
      </w:r>
    </w:p>
    <w:p w:rsidR="00BB33A9" w:rsidRPr="00992D71" w:rsidRDefault="00BB33A9" w:rsidP="00BB33A9">
      <w:pPr>
        <w:pStyle w:val="Normlnweb"/>
        <w:numPr>
          <w:ilvl w:val="0"/>
          <w:numId w:val="32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Vybudovat novou dálkově ovládanou vstupní bránu do areálu včetně branky.</w:t>
      </w:r>
    </w:p>
    <w:p w:rsidR="00BB33A9" w:rsidRPr="00992D71" w:rsidRDefault="00BB33A9" w:rsidP="00BB33A9">
      <w:pPr>
        <w:pStyle w:val="Nadpis3"/>
        <w:spacing w:before="0"/>
        <w:rPr>
          <w:rFonts w:ascii="Arial" w:hAnsi="Arial" w:cs="Arial"/>
          <w:color w:val="auto"/>
          <w:sz w:val="20"/>
          <w:szCs w:val="20"/>
          <w:u w:val="single"/>
        </w:rPr>
      </w:pPr>
      <w:r w:rsidRPr="00992D71">
        <w:rPr>
          <w:rStyle w:val="Siln"/>
          <w:rFonts w:ascii="Arial" w:hAnsi="Arial" w:cs="Arial"/>
          <w:b w:val="0"/>
          <w:bCs w:val="0"/>
          <w:color w:val="auto"/>
          <w:sz w:val="20"/>
          <w:szCs w:val="20"/>
          <w:u w:val="single"/>
        </w:rPr>
        <w:t>Odpadové hospodářství</w:t>
      </w:r>
    </w:p>
    <w:p w:rsidR="00BB33A9" w:rsidRPr="00992D71" w:rsidRDefault="00BB33A9" w:rsidP="00BB33A9">
      <w:pPr>
        <w:pStyle w:val="Normln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92D71">
        <w:rPr>
          <w:rStyle w:val="Siln"/>
          <w:rFonts w:ascii="Arial" w:hAnsi="Arial" w:cs="Arial"/>
          <w:b w:val="0"/>
          <w:sz w:val="20"/>
          <w:szCs w:val="20"/>
        </w:rPr>
        <w:t>Revitalizace prostoru pro mytí aut:</w:t>
      </w:r>
    </w:p>
    <w:p w:rsidR="00BB33A9" w:rsidRPr="00992D71" w:rsidRDefault="00BB33A9" w:rsidP="00BB33A9">
      <w:pPr>
        <w:pStyle w:val="Normlnweb"/>
        <w:numPr>
          <w:ilvl w:val="1"/>
          <w:numId w:val="34"/>
        </w:numPr>
        <w:spacing w:before="0" w:beforeAutospacing="0" w:after="0" w:afterAutospacing="0"/>
        <w:rPr>
          <w:rStyle w:val="Siln"/>
          <w:rFonts w:ascii="Arial" w:hAnsi="Arial" w:cs="Arial"/>
          <w:b w:val="0"/>
          <w:bCs w:val="0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Prověřit a upravit </w:t>
      </w:r>
      <w:r w:rsidRPr="00992D71">
        <w:rPr>
          <w:rStyle w:val="Siln"/>
          <w:rFonts w:ascii="Arial" w:hAnsi="Arial" w:cs="Arial"/>
          <w:b w:val="0"/>
          <w:sz w:val="20"/>
          <w:szCs w:val="20"/>
        </w:rPr>
        <w:t>odvodňovací rošt</w:t>
      </w:r>
    </w:p>
    <w:p w:rsidR="00BB33A9" w:rsidRPr="00992D71" w:rsidRDefault="00BB33A9" w:rsidP="00BB33A9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bCs w:val="0"/>
          <w:sz w:val="20"/>
          <w:szCs w:val="20"/>
          <w:u w:val="single"/>
        </w:rPr>
      </w:pPr>
      <w:r w:rsidRPr="00992D71">
        <w:rPr>
          <w:rStyle w:val="Siln"/>
          <w:rFonts w:ascii="Arial" w:hAnsi="Arial" w:cs="Arial"/>
          <w:b w:val="0"/>
          <w:bCs w:val="0"/>
          <w:sz w:val="20"/>
          <w:szCs w:val="20"/>
          <w:u w:val="single"/>
        </w:rPr>
        <w:t>Úprava zpevněných ploch v areálu</w:t>
      </w:r>
    </w:p>
    <w:p w:rsidR="00BB33A9" w:rsidRPr="00992D71" w:rsidRDefault="00BB33A9" w:rsidP="00BB33A9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bCs w:val="0"/>
          <w:sz w:val="20"/>
          <w:szCs w:val="20"/>
          <w:u w:val="single"/>
        </w:rPr>
      </w:pPr>
    </w:p>
    <w:p w:rsidR="00BB33A9" w:rsidRPr="00992D71" w:rsidRDefault="00BB33A9" w:rsidP="00BB33A9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bCs w:val="0"/>
          <w:sz w:val="20"/>
          <w:szCs w:val="20"/>
        </w:rPr>
      </w:pPr>
      <w:r w:rsidRPr="00992D71">
        <w:rPr>
          <w:rStyle w:val="Siln"/>
          <w:rFonts w:ascii="Arial" w:hAnsi="Arial" w:cs="Arial"/>
          <w:bCs w:val="0"/>
          <w:sz w:val="20"/>
          <w:szCs w:val="20"/>
        </w:rPr>
        <w:t xml:space="preserve">Podklady: </w:t>
      </w:r>
      <w:r w:rsidRPr="00992D71">
        <w:rPr>
          <w:rStyle w:val="Siln"/>
          <w:rFonts w:ascii="Arial" w:hAnsi="Arial" w:cs="Arial"/>
          <w:b w:val="0"/>
          <w:bCs w:val="0"/>
          <w:sz w:val="20"/>
          <w:szCs w:val="20"/>
        </w:rPr>
        <w:t>PD Provozní budovy z roku 1989 (půdorys, řezy, řez krovu, pohledy)</w:t>
      </w:r>
    </w:p>
    <w:p w:rsidR="00BB33A9" w:rsidRPr="00992D71" w:rsidRDefault="00BB33A9" w:rsidP="00BB33A9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bCs w:val="0"/>
          <w:sz w:val="20"/>
          <w:szCs w:val="20"/>
          <w:u w:val="single"/>
        </w:rPr>
      </w:pP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BB33A9" w:rsidRPr="00992D71" w:rsidRDefault="00BB33A9" w:rsidP="00BB33A9">
      <w:pPr>
        <w:spacing w:after="0"/>
        <w:rPr>
          <w:rFonts w:ascii="Arial" w:hAnsi="Arial" w:cs="Arial"/>
          <w:bCs/>
          <w:sz w:val="20"/>
          <w:szCs w:val="20"/>
          <w:highlight w:val="yellow"/>
        </w:rPr>
      </w:pP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992D71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BB33A9" w:rsidRPr="00992D71" w:rsidRDefault="00BB33A9" w:rsidP="00BB33A9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92D71">
        <w:rPr>
          <w:rFonts w:ascii="Arial" w:hAnsi="Arial" w:cs="Arial"/>
          <w:b/>
          <w:sz w:val="20"/>
          <w:szCs w:val="20"/>
          <w:u w:val="single"/>
        </w:rPr>
        <w:t>Vypracování dokumentace pro povolení záměru v souladu s § 157 odst. (2) Stavebního zákona 283/2021</w:t>
      </w:r>
    </w:p>
    <w:p w:rsidR="00BB33A9" w:rsidRPr="00992D71" w:rsidRDefault="00BB33A9" w:rsidP="00BB33A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992D71">
        <w:rPr>
          <w:rFonts w:ascii="Arial" w:hAnsi="Arial" w:cs="Arial"/>
          <w:sz w:val="20"/>
          <w:szCs w:val="20"/>
        </w:rPr>
        <w:t xml:space="preserve">Rozsah a obsah dokumentace je stanoven </w:t>
      </w:r>
      <w:r w:rsidRPr="00992D71">
        <w:rPr>
          <w:rFonts w:ascii="Arial" w:eastAsia="Times New Roman" w:hAnsi="Arial" w:cs="Arial"/>
          <w:sz w:val="20"/>
          <w:szCs w:val="20"/>
          <w:lang w:eastAsia="cs-CZ"/>
        </w:rPr>
        <w:t xml:space="preserve">ke dni 30. 6. 2027, Zákonem č. 283/2021 Sb. - Stavební zákon, Zákonem č. 284/2021 Sb. - Zákon, kterým se mění některé zákony v souvislosti s přijetím stavebního zákona, Zákonem č. 195/2022 Sb. - Zákon, kterým se mění zákon č. 283/2021 Sb., stavební </w:t>
      </w:r>
      <w:proofErr w:type="gramStart"/>
      <w:r w:rsidRPr="00992D71">
        <w:rPr>
          <w:rFonts w:ascii="Arial" w:eastAsia="Times New Roman" w:hAnsi="Arial" w:cs="Arial"/>
          <w:sz w:val="20"/>
          <w:szCs w:val="20"/>
          <w:lang w:eastAsia="cs-CZ"/>
        </w:rPr>
        <w:t>zákon,  Zákonem</w:t>
      </w:r>
      <w:proofErr w:type="gramEnd"/>
      <w:r w:rsidRPr="00992D71">
        <w:rPr>
          <w:rFonts w:ascii="Arial" w:eastAsia="Times New Roman" w:hAnsi="Arial" w:cs="Arial"/>
          <w:sz w:val="20"/>
          <w:szCs w:val="20"/>
          <w:lang w:eastAsia="cs-CZ"/>
        </w:rPr>
        <w:t xml:space="preserve"> č. 152/2023 Sb. - Zákon, kterým se mění zákon č. 283/2021 Sb., stavební zákon, ve znění zákona č. 195/2022 Sb., a některé další související zákony, vyhláškou č. 131/2024 Sb. - o rozsahu a obsahu projektové dokumentace staveb a vyhláška č. 169/2016 Sb., o stanovení rozsahu dokumentace veřejné zakázky na stavební práce a soupisu stavebních prací, dodávek a služeb s výkazem výměr, Zákon č. 541/2020 Sb. - Zákon o odpadech, Zákon č. 318/2025 </w:t>
      </w:r>
      <w:proofErr w:type="spellStart"/>
      <w:proofErr w:type="gramStart"/>
      <w:r w:rsidRPr="00992D71">
        <w:rPr>
          <w:rFonts w:ascii="Arial" w:eastAsia="Times New Roman" w:hAnsi="Arial" w:cs="Arial"/>
          <w:sz w:val="20"/>
          <w:szCs w:val="20"/>
          <w:lang w:eastAsia="cs-CZ"/>
        </w:rPr>
        <w:t>Sb.Zákon</w:t>
      </w:r>
      <w:proofErr w:type="spellEnd"/>
      <w:proofErr w:type="gramEnd"/>
      <w:r w:rsidRPr="00992D71">
        <w:rPr>
          <w:rFonts w:ascii="Arial" w:eastAsia="Times New Roman" w:hAnsi="Arial" w:cs="Arial"/>
          <w:sz w:val="20"/>
          <w:szCs w:val="20"/>
          <w:lang w:eastAsia="cs-CZ"/>
        </w:rPr>
        <w:t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 Nařízení vlády, kterým se mění nařízení vlády č. 591/2006 Sb., o bližších minimálních požadavcích na bezpečnost a ochranu zdraví při práci na staveništích, ve znění nařízení vlády č. 136/2016 Sb.,</w:t>
      </w:r>
      <w:r w:rsidR="00992D71" w:rsidRPr="00992D7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992D71">
        <w:rPr>
          <w:rFonts w:ascii="Arial" w:eastAsia="Times New Roman" w:hAnsi="Arial" w:cs="Arial"/>
          <w:sz w:val="20"/>
          <w:szCs w:val="20"/>
          <w:lang w:eastAsia="cs-CZ"/>
        </w:rPr>
        <w:t>vše v platném znění a bude obsahovat skladbu PD v souladu a rozsahu vyhlášky 131/2024 a dále:</w:t>
      </w:r>
    </w:p>
    <w:p w:rsidR="00BB33A9" w:rsidRPr="00992D71" w:rsidRDefault="00BB33A9" w:rsidP="00BB33A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Odhad stavebních nákladů</w:t>
      </w:r>
    </w:p>
    <w:p w:rsidR="00BB33A9" w:rsidRPr="00992D71" w:rsidRDefault="00992D71" w:rsidP="00BB33A9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992D71">
        <w:rPr>
          <w:rFonts w:ascii="Arial" w:hAnsi="Arial" w:cs="Arial"/>
          <w:sz w:val="20"/>
          <w:szCs w:val="20"/>
        </w:rPr>
        <w:lastRenderedPageBreak/>
        <w:t xml:space="preserve">-     </w:t>
      </w:r>
      <w:r w:rsidR="00BB33A9" w:rsidRPr="00992D71">
        <w:rPr>
          <w:rFonts w:ascii="Arial" w:hAnsi="Arial" w:cs="Arial"/>
          <w:sz w:val="20"/>
          <w:szCs w:val="20"/>
        </w:rPr>
        <w:t>V</w:t>
      </w:r>
      <w:r w:rsidRPr="00992D71">
        <w:rPr>
          <w:rFonts w:ascii="Arial" w:hAnsi="Arial" w:cs="Arial"/>
          <w:sz w:val="20"/>
          <w:szCs w:val="20"/>
        </w:rPr>
        <w:t>yřešení</w:t>
      </w:r>
      <w:proofErr w:type="gramEnd"/>
      <w:r w:rsidRPr="00992D71">
        <w:rPr>
          <w:rFonts w:ascii="Arial" w:hAnsi="Arial" w:cs="Arial"/>
          <w:sz w:val="20"/>
          <w:szCs w:val="20"/>
        </w:rPr>
        <w:t xml:space="preserve"> nakládání s odpady dle </w:t>
      </w:r>
      <w:r w:rsidR="00BB33A9" w:rsidRPr="00992D71">
        <w:rPr>
          <w:rFonts w:ascii="Arial" w:hAnsi="Arial" w:cs="Arial"/>
          <w:sz w:val="20"/>
          <w:szCs w:val="20"/>
        </w:rPr>
        <w:t xml:space="preserve">Zákona č. 541/2020 Sb. 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 </w:t>
      </w:r>
      <w:r w:rsidR="00992D71">
        <w:rPr>
          <w:rFonts w:ascii="Arial" w:hAnsi="Arial" w:cs="Arial"/>
          <w:sz w:val="20"/>
          <w:szCs w:val="20"/>
        </w:rPr>
        <w:t xml:space="preserve"> </w:t>
      </w:r>
      <w:r w:rsidRPr="00992D7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992D71">
        <w:rPr>
          <w:rFonts w:ascii="Arial" w:hAnsi="Arial" w:cs="Arial"/>
          <w:sz w:val="20"/>
          <w:szCs w:val="20"/>
        </w:rPr>
        <w:t>-     Zajištění</w:t>
      </w:r>
      <w:proofErr w:type="gramEnd"/>
      <w:r w:rsidRPr="00992D71">
        <w:rPr>
          <w:rFonts w:ascii="Arial" w:hAnsi="Arial" w:cs="Arial"/>
          <w:sz w:val="20"/>
          <w:szCs w:val="20"/>
        </w:rPr>
        <w:t xml:space="preserve"> projednání, potřebných kladných vyjádření a souhlasných stanovisek všech 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         orgánů státní správy a samosprávy, organizací a správců dotčených inženýrských sítí pro 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         vydání povolení záměru, vč. případného následného zapracování změn do projektové dokumentace</w:t>
      </w:r>
    </w:p>
    <w:p w:rsidR="00BB33A9" w:rsidRPr="00992D71" w:rsidRDefault="00992D71" w:rsidP="00BB33A9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</w:t>
      </w:r>
      <w:proofErr w:type="gramStart"/>
      <w:r w:rsidR="00BB33A9" w:rsidRPr="00992D71">
        <w:rPr>
          <w:rFonts w:ascii="Arial" w:hAnsi="Arial" w:cs="Arial"/>
          <w:bCs/>
          <w:sz w:val="20"/>
          <w:szCs w:val="20"/>
        </w:rPr>
        <w:t>-  Zpracování</w:t>
      </w:r>
      <w:proofErr w:type="gramEnd"/>
      <w:r w:rsidR="00BB33A9" w:rsidRPr="00992D71">
        <w:rPr>
          <w:rFonts w:ascii="Arial" w:hAnsi="Arial" w:cs="Arial"/>
          <w:bCs/>
          <w:sz w:val="20"/>
          <w:szCs w:val="20"/>
        </w:rPr>
        <w:t xml:space="preserve"> žádosti o vydání povolení záměru, včetně všech požadovaných příloh, vyjádření a stanovisek a podání řádné žádostí k příslušným stavebním úřadům dle jednotlivých stavebních objektů a příslušnosti k úřadu, který stavební objekty povoluje. </w:t>
      </w:r>
    </w:p>
    <w:p w:rsidR="00BB33A9" w:rsidRPr="00992D71" w:rsidRDefault="00BB33A9" w:rsidP="00BB33A9">
      <w:pPr>
        <w:pStyle w:val="Odstavecseseznamem"/>
        <w:numPr>
          <w:ilvl w:val="0"/>
          <w:numId w:val="21"/>
        </w:num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992D71">
        <w:rPr>
          <w:rFonts w:ascii="Arial" w:hAnsi="Arial" w:cs="Arial"/>
          <w:bCs/>
          <w:sz w:val="20"/>
          <w:szCs w:val="20"/>
        </w:rPr>
        <w:t>Před podáním žádosti na příslušný stavební úřad, je zhotovitel povinen odsouhlasit si tuto žádost včetně všech příloh se zástupci objednatele.</w:t>
      </w:r>
    </w:p>
    <w:p w:rsidR="00BB33A9" w:rsidRPr="00992D71" w:rsidRDefault="00BB33A9" w:rsidP="00BB33A9">
      <w:pPr>
        <w:numPr>
          <w:ilvl w:val="0"/>
          <w:numId w:val="21"/>
        </w:numPr>
        <w:spacing w:after="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92D71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záměru, zajištění vydání povolení stavby včetně potřebné inženýrské činnosti (např. dořešení změn PD v průběhu řízení o povolení záměru), získání doložky nabytí právní moci Povolení stavby </w:t>
      </w:r>
    </w:p>
    <w:p w:rsidR="00BB33A9" w:rsidRPr="00992D71" w:rsidRDefault="00BB33A9" w:rsidP="00BB33A9">
      <w:pPr>
        <w:pStyle w:val="Odstavecseseznamem"/>
        <w:numPr>
          <w:ilvl w:val="0"/>
          <w:numId w:val="21"/>
        </w:numPr>
        <w:tabs>
          <w:tab w:val="num" w:pos="-1560"/>
        </w:tabs>
        <w:spacing w:after="240"/>
        <w:jc w:val="both"/>
        <w:rPr>
          <w:rFonts w:ascii="Arial" w:hAnsi="Arial" w:cs="Arial"/>
          <w:bCs/>
          <w:sz w:val="20"/>
          <w:szCs w:val="20"/>
        </w:rPr>
      </w:pPr>
      <w:r w:rsidRPr="00992D71">
        <w:rPr>
          <w:rFonts w:ascii="Arial" w:hAnsi="Arial" w:cs="Arial"/>
          <w:bCs/>
          <w:sz w:val="20"/>
          <w:szCs w:val="20"/>
          <w:u w:val="single"/>
        </w:rPr>
        <w:t xml:space="preserve">Po vydání Pravomocného povolení záměru bude předáno objednateli: </w:t>
      </w:r>
      <w:r w:rsidRPr="00992D71">
        <w:rPr>
          <w:rFonts w:ascii="Arial" w:hAnsi="Arial" w:cs="Arial"/>
          <w:sz w:val="20"/>
          <w:szCs w:val="20"/>
        </w:rPr>
        <w:t>1 x originál každého povolení stavebního záměru (PS) v písemné podobě s vyznačením nabytí právní moci + projektová dokumentace pro povolení stavebního záměru (DPS) ověřená stavebním úřadem.</w:t>
      </w:r>
    </w:p>
    <w:p w:rsidR="00BB33A9" w:rsidRPr="00992D71" w:rsidRDefault="00BB33A9" w:rsidP="00BB33A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všech dotčených touto stavbou. Před dokončením a odevzdáním každého stupně projektové dokumentace (tj. DPS a PDPS) budou svolány tzv. </w:t>
      </w:r>
      <w:proofErr w:type="spellStart"/>
      <w:r w:rsidRPr="00992D71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komise (TDK) za účasti všech dotčených touto stavbou. Zadavateli bude zhotovi</w:t>
      </w:r>
      <w:r w:rsidR="00992D71" w:rsidRPr="00992D71">
        <w:rPr>
          <w:rFonts w:ascii="Arial" w:hAnsi="Arial" w:cs="Arial"/>
          <w:sz w:val="20"/>
          <w:szCs w:val="20"/>
        </w:rPr>
        <w:t xml:space="preserve">telem v dostatečném předstihu </w:t>
      </w:r>
      <w:r w:rsidRPr="00992D71">
        <w:rPr>
          <w:rFonts w:ascii="Arial" w:hAnsi="Arial" w:cs="Arial"/>
          <w:sz w:val="20"/>
          <w:szCs w:val="20"/>
        </w:rPr>
        <w:t>(7 dní) zaslána projektová dokumentace jako podklad pro TDK. Výrobní výbory a TDK svolává a zápis vyhotovuje zhotovitel projektové dokumentace. Výrobní výbory a TDK budou svolávány v sídle objednatele, pokud nebude dohodnuto jinak.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  <w:sz w:val="20"/>
          <w:szCs w:val="20"/>
          <w:highlight w:val="yellow"/>
        </w:rPr>
      </w:pPr>
      <w:r w:rsidRPr="00992D71">
        <w:rPr>
          <w:rFonts w:ascii="Arial" w:hAnsi="Arial" w:cs="Arial"/>
          <w:b/>
          <w:sz w:val="20"/>
          <w:szCs w:val="20"/>
        </w:rPr>
        <w:t>Po definitivním odsouhlasení zadavatelem bude následně projektová dokumentace ve stupni pro vydání povolení stavebního záměru (DPS) předána zadavateli v tištěné podobě a na CD (v plném rozsahu tištěné podoby) v následujícím počtu:</w:t>
      </w:r>
    </w:p>
    <w:p w:rsidR="00BB33A9" w:rsidRPr="00992D71" w:rsidRDefault="00BB33A9" w:rsidP="00BB33A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DPS - 2x v tištěné podobě, vč. dokladové části ve všech </w:t>
      </w:r>
      <w:proofErr w:type="spellStart"/>
      <w:r w:rsidRPr="00992D71">
        <w:rPr>
          <w:rFonts w:ascii="Arial" w:hAnsi="Arial" w:cs="Arial"/>
          <w:sz w:val="20"/>
          <w:szCs w:val="20"/>
        </w:rPr>
        <w:t>paré</w:t>
      </w:r>
      <w:proofErr w:type="spellEnd"/>
      <w:r w:rsidRPr="00992D71">
        <w:rPr>
          <w:rFonts w:ascii="Arial" w:hAnsi="Arial" w:cs="Arial"/>
          <w:sz w:val="20"/>
          <w:szCs w:val="20"/>
        </w:rPr>
        <w:t>, 1x v digitální ve formátu *.</w:t>
      </w:r>
      <w:proofErr w:type="spellStart"/>
      <w:r w:rsidRPr="00992D71">
        <w:rPr>
          <w:rFonts w:ascii="Arial" w:hAnsi="Arial" w:cs="Arial"/>
          <w:sz w:val="20"/>
          <w:szCs w:val="20"/>
        </w:rPr>
        <w:t>dwg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992D71">
        <w:rPr>
          <w:rFonts w:ascii="Arial" w:hAnsi="Arial" w:cs="Arial"/>
          <w:sz w:val="20"/>
          <w:szCs w:val="20"/>
        </w:rPr>
        <w:t>pdf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</w:t>
      </w:r>
    </w:p>
    <w:p w:rsidR="00BB33A9" w:rsidRPr="00992D71" w:rsidRDefault="00BB33A9" w:rsidP="00BB33A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Odhad stavebních nákladů – 1x v digitální ve formátu *.</w:t>
      </w:r>
      <w:proofErr w:type="spellStart"/>
      <w:r w:rsidRPr="00992D71">
        <w:rPr>
          <w:rFonts w:ascii="Arial" w:hAnsi="Arial" w:cs="Arial"/>
          <w:sz w:val="20"/>
          <w:szCs w:val="20"/>
        </w:rPr>
        <w:t>pdf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992D71">
        <w:rPr>
          <w:rFonts w:ascii="Arial" w:hAnsi="Arial" w:cs="Arial"/>
          <w:sz w:val="20"/>
          <w:szCs w:val="20"/>
        </w:rPr>
        <w:t>xls</w:t>
      </w:r>
      <w:proofErr w:type="spellEnd"/>
    </w:p>
    <w:p w:rsidR="00BB33A9" w:rsidRPr="00992D71" w:rsidRDefault="00BB33A9" w:rsidP="00BB33A9">
      <w:pPr>
        <w:rPr>
          <w:rFonts w:ascii="Arial" w:hAnsi="Arial" w:cs="Arial"/>
          <w:b/>
          <w:sz w:val="20"/>
          <w:szCs w:val="20"/>
          <w:u w:val="single"/>
        </w:rPr>
      </w:pPr>
      <w:r w:rsidRPr="00992D71">
        <w:rPr>
          <w:rFonts w:ascii="Arial" w:hAnsi="Arial" w:cs="Arial"/>
          <w:b/>
          <w:sz w:val="20"/>
          <w:szCs w:val="20"/>
          <w:u w:val="single"/>
        </w:rPr>
        <w:t>Vypracování dokumentace pro provádění stavby</w:t>
      </w:r>
    </w:p>
    <w:p w:rsidR="00BB33A9" w:rsidRPr="00596975" w:rsidRDefault="00BB33A9" w:rsidP="00BB33A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596975">
        <w:rPr>
          <w:rFonts w:ascii="Arial" w:hAnsi="Arial" w:cs="Arial"/>
          <w:sz w:val="20"/>
          <w:szCs w:val="20"/>
        </w:rPr>
        <w:t xml:space="preserve">Rozsah a obsah dokumentace je stanoven vyhláškou o dokumentaci staveb 131/2024 Sb., </w:t>
      </w:r>
      <w:r w:rsidRPr="00596975">
        <w:rPr>
          <w:rFonts w:ascii="Arial" w:eastAsia="Times New Roman" w:hAnsi="Arial" w:cs="Arial"/>
          <w:sz w:val="20"/>
          <w:szCs w:val="20"/>
          <w:lang w:eastAsia="cs-CZ"/>
        </w:rPr>
        <w:t xml:space="preserve">Zákonem č. 283/2021 Sb. - Stavební zákon, Zákonem č. 284/2021 Sb. - Zákon, kterým se mění některé zákony v souvislosti s přijetím stavebního zákona, Zákonem č. 195/2022 Sb. - Zákon, kterým se mění zákon č. 283/2021 Sb., stavební </w:t>
      </w:r>
      <w:proofErr w:type="gramStart"/>
      <w:r w:rsidRPr="00596975">
        <w:rPr>
          <w:rFonts w:ascii="Arial" w:eastAsia="Times New Roman" w:hAnsi="Arial" w:cs="Arial"/>
          <w:sz w:val="20"/>
          <w:szCs w:val="20"/>
          <w:lang w:eastAsia="cs-CZ"/>
        </w:rPr>
        <w:t>zákon,  Zákonem</w:t>
      </w:r>
      <w:proofErr w:type="gramEnd"/>
      <w:r w:rsidRPr="00596975">
        <w:rPr>
          <w:rFonts w:ascii="Arial" w:eastAsia="Times New Roman" w:hAnsi="Arial" w:cs="Arial"/>
          <w:sz w:val="20"/>
          <w:szCs w:val="20"/>
          <w:lang w:eastAsia="cs-CZ"/>
        </w:rPr>
        <w:t xml:space="preserve"> č. 152/2023 Sb. - Zákon, kterým se mění zákon č. 283/2021 Sb., stavební zákon, ve znění zákona č. 195/2022 Sb., a některé další související zákony, a vyhláška č. 169/2016 Sb., o stanovení rozsahu dokumentace veřejné zakázky na stavební práce a soupisu stavebních prací, dodávek a služeb s výkazem výměr, Zákon č. 541/2020 Sb. - Zákon o odpadech, Zákon č. 318/2025 </w:t>
      </w:r>
      <w:proofErr w:type="spellStart"/>
      <w:proofErr w:type="gramStart"/>
      <w:r w:rsidRPr="00596975">
        <w:rPr>
          <w:rFonts w:ascii="Arial" w:eastAsia="Times New Roman" w:hAnsi="Arial" w:cs="Arial"/>
          <w:sz w:val="20"/>
          <w:szCs w:val="20"/>
          <w:lang w:eastAsia="cs-CZ"/>
        </w:rPr>
        <w:t>Sb.Zákon</w:t>
      </w:r>
      <w:proofErr w:type="spellEnd"/>
      <w:proofErr w:type="gramEnd"/>
      <w:r w:rsidRPr="00596975">
        <w:rPr>
          <w:rFonts w:ascii="Arial" w:eastAsia="Times New Roman" w:hAnsi="Arial" w:cs="Arial"/>
          <w:sz w:val="20"/>
          <w:szCs w:val="20"/>
          <w:lang w:eastAsia="cs-CZ"/>
        </w:rPr>
        <w:t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</w:t>
      </w:r>
      <w:bookmarkStart w:id="0" w:name="_GoBack"/>
      <w:bookmarkEnd w:id="0"/>
      <w:r w:rsidRPr="00596975">
        <w:rPr>
          <w:rFonts w:ascii="Arial" w:eastAsia="Times New Roman" w:hAnsi="Arial" w:cs="Arial"/>
          <w:sz w:val="20"/>
          <w:szCs w:val="20"/>
          <w:lang w:eastAsia="cs-CZ"/>
        </w:rPr>
        <w:t>ři práci), ve znění pozdějších předpisů, a další související zákony, Nařízení vlády č. 319/2025 Sb. Nařízení vlády, kterým se mění nařízení vlády č. 591/2006 Sb., o bližších minimálních požadavcích na bezpečnost a ochranu zdraví při práci na staveništích, ve znění nařízení vlády č. 136/2016 Sb., vše v platném znění a bude obsahovat skladbu PD v souladu a rozsahu vyhlášky 131/2024.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96975">
        <w:rPr>
          <w:rFonts w:ascii="Arial" w:hAnsi="Arial" w:cs="Arial"/>
          <w:sz w:val="20"/>
          <w:szCs w:val="20"/>
        </w:rPr>
        <w:t xml:space="preserve">    </w:t>
      </w:r>
      <w:r w:rsidRPr="00596975">
        <w:rPr>
          <w:rFonts w:ascii="Arial" w:hAnsi="Arial" w:cs="Arial"/>
          <w:sz w:val="20"/>
          <w:szCs w:val="20"/>
          <w:lang w:eastAsia="cs-CZ"/>
        </w:rPr>
        <w:t xml:space="preserve">Projektant se zavazuje prostřednictvím zadavatele stavby k předání veškerých podkladů a informací určenému koordinátorovi BOZP, kterým je fyzická nebo právnická osoba určená zadavatelem stavby k provádění stanovených činností při přípravě stavby pro jeho činnost, zejména pro zpracování plánu bezpečnosti a ochrany zdraví při práci na staveništi (dále jen „plán“), včetně informace o fyzických osobách, které se mohou s jeho vědomím zdržovat na staveništi, poskytovat mu potřebnou součinnost  po celou dobu přípravy stavby v souladu s odst. </w:t>
      </w:r>
      <w:r w:rsidRPr="00596975">
        <w:rPr>
          <w:rFonts w:ascii="Arial" w:hAnsi="Arial" w:cs="Arial"/>
          <w:bCs/>
          <w:sz w:val="20"/>
          <w:szCs w:val="20"/>
          <w:lang w:eastAsia="cs-CZ"/>
        </w:rPr>
        <w:t>(4)</w:t>
      </w:r>
      <w:r w:rsidRPr="00596975">
        <w:rPr>
          <w:rFonts w:ascii="Arial" w:hAnsi="Arial" w:cs="Arial"/>
          <w:sz w:val="20"/>
          <w:szCs w:val="20"/>
          <w:lang w:eastAsia="cs-CZ"/>
        </w:rPr>
        <w:t> </w:t>
      </w:r>
      <w:r w:rsidRPr="00596975">
        <w:rPr>
          <w:rFonts w:ascii="Arial" w:hAnsi="Arial" w:cs="Arial"/>
          <w:bCs/>
          <w:sz w:val="20"/>
          <w:szCs w:val="20"/>
          <w:lang w:eastAsia="cs-CZ"/>
        </w:rPr>
        <w:t>§ 14</w:t>
      </w:r>
      <w:r w:rsidRPr="00596975">
        <w:rPr>
          <w:rFonts w:ascii="Arial" w:hAnsi="Arial" w:cs="Arial"/>
          <w:sz w:val="20"/>
          <w:szCs w:val="20"/>
        </w:rPr>
        <w:t xml:space="preserve"> Zákona č. 309/2006 Sb.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v souladu se Zákonem č. 318/2025 Sb. Zákon, kterým se mění zákon č. 309/2006 Sb., kterým se upravují další požadavky bezpečnosti a ochrany zdraví při práci </w:t>
      </w:r>
      <w:r w:rsidRPr="00992D71">
        <w:rPr>
          <w:rFonts w:ascii="Arial" w:hAnsi="Arial" w:cs="Arial"/>
          <w:sz w:val="20"/>
          <w:szCs w:val="20"/>
        </w:rPr>
        <w:lastRenderedPageBreak/>
        <w:t>v pracovněprávních vztazích a o zajištění bezpečnosti a ochrany zdraví při činnosti nebo poskytování služeb mimo pracovněprávní vztahy (zákon o zajištění dalších podmínek bezpečnosti a ochrany zdraví při práci), ve znění pozdějších předpisů Nařízení vlády č. 319/2025 Sb., Nařízením vlády, kterým se mění nařízení vlády č. 591/2006 Sb., o bližších minimálních požadavcích na bezpečnost a ochranu zdraví při práci na staveništích, ve znění nařízení vlády č. 136/2016 Sb., a další související zákony</w:t>
      </w:r>
      <w:r w:rsidRPr="00992D71">
        <w:rPr>
          <w:rFonts w:ascii="Arial" w:hAnsi="Arial" w:cs="Arial"/>
          <w:color w:val="000000"/>
          <w:sz w:val="20"/>
          <w:szCs w:val="20"/>
          <w:lang w:eastAsia="cs-CZ"/>
        </w:rPr>
        <w:t>. Dále předloží zpracovatel PD: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992D71">
        <w:rPr>
          <w:rFonts w:ascii="Arial" w:hAnsi="Arial" w:cs="Arial"/>
          <w:sz w:val="20"/>
          <w:szCs w:val="20"/>
        </w:rPr>
        <w:t>-      Neoceněný</w:t>
      </w:r>
      <w:proofErr w:type="gramEnd"/>
      <w:r w:rsidRPr="00992D71">
        <w:rPr>
          <w:rFonts w:ascii="Arial" w:hAnsi="Arial" w:cs="Arial"/>
          <w:sz w:val="20"/>
          <w:szCs w:val="20"/>
        </w:rPr>
        <w:t xml:space="preserve"> soupis prací, oceněný soupis prací (kontrolní rozpočet pro potřeby 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       zadavatele), soupis prací bude zpracován v rozpočtovém programu </w:t>
      </w:r>
      <w:proofErr w:type="spellStart"/>
      <w:r w:rsidRPr="00992D71">
        <w:rPr>
          <w:rFonts w:ascii="Arial" w:hAnsi="Arial" w:cs="Arial"/>
          <w:sz w:val="20"/>
          <w:szCs w:val="20"/>
        </w:rPr>
        <w:t>Aspe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(v oborovém 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       třídníku stavebních konstrukcí OTSKP) v souladu s vyhláškou č. 169/2016 Sb., o stanovení rozsahu dokumentace veřejné zakázky </w:t>
      </w:r>
      <w:proofErr w:type="gramStart"/>
      <w:r w:rsidRPr="00992D71">
        <w:rPr>
          <w:rFonts w:ascii="Arial" w:hAnsi="Arial" w:cs="Arial"/>
          <w:sz w:val="20"/>
          <w:szCs w:val="20"/>
        </w:rPr>
        <w:t>na  stavební</w:t>
      </w:r>
      <w:proofErr w:type="gramEnd"/>
      <w:r w:rsidRPr="00992D71">
        <w:rPr>
          <w:rFonts w:ascii="Arial" w:hAnsi="Arial" w:cs="Arial"/>
          <w:sz w:val="20"/>
          <w:szCs w:val="20"/>
        </w:rPr>
        <w:t xml:space="preserve"> práce a soupisu stavebních prací, dodávek a služeb s výkazem výměr.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BB33A9" w:rsidRPr="00992D71" w:rsidRDefault="00BB33A9" w:rsidP="00BB33A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Dokumentace bude projednána na výrobních výborech (minimálně 2x) dotčených touto stavbou, které svolává a zápis vyhotovuje zhotovitel projektové dokumentace včetně TDK. Před dokončením a odevzdáním stupně projektové dokumentace  PDPS bude svolána tzv. </w:t>
      </w:r>
      <w:proofErr w:type="spellStart"/>
      <w:r w:rsidRPr="00992D71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komise (TDK) za účasti všech dotčených touto stavbou. Zadavateli bude zhotovitelem v dostatečném </w:t>
      </w:r>
      <w:proofErr w:type="gramStart"/>
      <w:r w:rsidRPr="00992D71">
        <w:rPr>
          <w:rFonts w:ascii="Arial" w:hAnsi="Arial" w:cs="Arial"/>
          <w:sz w:val="20"/>
          <w:szCs w:val="20"/>
        </w:rPr>
        <w:t>předstihu   (7 dní</w:t>
      </w:r>
      <w:proofErr w:type="gramEnd"/>
      <w:r w:rsidRPr="00992D71">
        <w:rPr>
          <w:rFonts w:ascii="Arial" w:hAnsi="Arial" w:cs="Arial"/>
          <w:sz w:val="20"/>
          <w:szCs w:val="20"/>
        </w:rPr>
        <w:t>) zaslána projektová dokumentace jako podklad pro TDK. Výrobní výbory a TDK budou svolávány v sídle objednatele, pokud nebude dohodnuto jinak.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92D71">
        <w:rPr>
          <w:rFonts w:ascii="Arial" w:hAnsi="Arial" w:cs="Arial"/>
          <w:b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BB33A9" w:rsidRPr="00992D71" w:rsidRDefault="00BB33A9" w:rsidP="00BB33A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PDPS - 3x v tištěné podobě, 1x v digitální ve formátu *.</w:t>
      </w:r>
      <w:proofErr w:type="spellStart"/>
      <w:r w:rsidRPr="00992D71">
        <w:rPr>
          <w:rFonts w:ascii="Arial" w:hAnsi="Arial" w:cs="Arial"/>
          <w:sz w:val="20"/>
          <w:szCs w:val="20"/>
        </w:rPr>
        <w:t>dwg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992D71">
        <w:rPr>
          <w:rFonts w:ascii="Arial" w:hAnsi="Arial" w:cs="Arial"/>
          <w:sz w:val="20"/>
          <w:szCs w:val="20"/>
        </w:rPr>
        <w:t>pdf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</w:t>
      </w:r>
    </w:p>
    <w:p w:rsidR="00BB33A9" w:rsidRPr="00992D71" w:rsidRDefault="00BB33A9" w:rsidP="00BB33A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Oceněný soupis prací – 1x v digitální ve formátu *.</w:t>
      </w:r>
      <w:proofErr w:type="spellStart"/>
      <w:r w:rsidRPr="00992D71">
        <w:rPr>
          <w:rFonts w:ascii="Arial" w:hAnsi="Arial" w:cs="Arial"/>
          <w:sz w:val="20"/>
          <w:szCs w:val="20"/>
        </w:rPr>
        <w:t>xls</w:t>
      </w:r>
      <w:proofErr w:type="spellEnd"/>
      <w:r w:rsidRPr="00992D71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992D71">
        <w:rPr>
          <w:rFonts w:ascii="Arial" w:hAnsi="Arial" w:cs="Arial"/>
          <w:sz w:val="20"/>
          <w:szCs w:val="20"/>
        </w:rPr>
        <w:t>pdf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992D71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992D71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992D71">
        <w:rPr>
          <w:rFonts w:ascii="Arial" w:hAnsi="Arial" w:cs="Arial"/>
          <w:sz w:val="20"/>
          <w:szCs w:val="20"/>
        </w:rPr>
        <w:t>Esticonu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v datovém předpisu XC4)</w:t>
      </w:r>
    </w:p>
    <w:p w:rsidR="00BB33A9" w:rsidRPr="00992D71" w:rsidRDefault="00BB33A9" w:rsidP="00BB33A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992D71">
        <w:rPr>
          <w:rFonts w:ascii="Arial" w:hAnsi="Arial" w:cs="Arial"/>
          <w:sz w:val="20"/>
          <w:szCs w:val="20"/>
        </w:rPr>
        <w:t>xls</w:t>
      </w:r>
      <w:proofErr w:type="spellEnd"/>
      <w:r w:rsidRPr="00992D71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992D71">
        <w:rPr>
          <w:rFonts w:ascii="Arial" w:hAnsi="Arial" w:cs="Arial"/>
          <w:sz w:val="20"/>
          <w:szCs w:val="20"/>
        </w:rPr>
        <w:t>pdf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992D71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992D71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992D71">
        <w:rPr>
          <w:rFonts w:ascii="Arial" w:hAnsi="Arial" w:cs="Arial"/>
          <w:sz w:val="20"/>
          <w:szCs w:val="20"/>
        </w:rPr>
        <w:t>Esticonu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v datovém předpisu XC4)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Tahoma" w:hAnsi="Tahoma" w:cs="Tahoma"/>
          <w:sz w:val="20"/>
          <w:szCs w:val="20"/>
        </w:rPr>
        <w:t>⁕</w:t>
      </w:r>
      <w:r w:rsidRPr="00992D71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9" w:history="1">
        <w:r w:rsidRPr="00992D71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992D71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992D71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992D71">
        <w:rPr>
          <w:rFonts w:ascii="Arial" w:hAnsi="Arial" w:cs="Arial"/>
          <w:sz w:val="20"/>
          <w:szCs w:val="20"/>
        </w:rPr>
        <w:t xml:space="preserve">“. 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BB33A9" w:rsidRPr="00992D71" w:rsidRDefault="00BB33A9" w:rsidP="00BB33A9">
      <w:pPr>
        <w:rPr>
          <w:rFonts w:ascii="Arial" w:hAnsi="Arial" w:cs="Arial"/>
          <w:b/>
          <w:sz w:val="20"/>
          <w:szCs w:val="20"/>
          <w:u w:val="single"/>
        </w:rPr>
      </w:pPr>
      <w:r w:rsidRPr="00992D71">
        <w:rPr>
          <w:rFonts w:ascii="Arial" w:hAnsi="Arial" w:cs="Arial"/>
          <w:b/>
          <w:sz w:val="20"/>
          <w:szCs w:val="20"/>
          <w:u w:val="single"/>
        </w:rPr>
        <w:t>Výkon dozoru projektanta</w:t>
      </w:r>
    </w:p>
    <w:p w:rsidR="00BB33A9" w:rsidRPr="00992D71" w:rsidRDefault="00BB33A9" w:rsidP="00BB33A9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992D71">
        <w:rPr>
          <w:rFonts w:ascii="Arial" w:hAnsi="Arial" w:cs="Arial"/>
          <w:sz w:val="20"/>
        </w:rPr>
        <w:t xml:space="preserve">Výkonem dozoru projektanta se rozumí uskutečnění činností předpokládaných obecně závaznými právními předpisy a vyžadovaných objektivní stavebně-technickou situací, jakožto součinnost autora při realizaci stavby podle zpracovaného projektu. V rámci výkonu dozoru projektanta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BB33A9" w:rsidRPr="00992D71" w:rsidRDefault="00BB33A9" w:rsidP="00BB33A9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992D71">
        <w:rPr>
          <w:rFonts w:ascii="Arial" w:hAnsi="Arial" w:cs="Arial"/>
          <w:sz w:val="20"/>
        </w:rPr>
        <w:t>Zhotovitel je povinen při plnění dozoru projektanta poskytnout svoji součinnost vždy bezodkladně poté, kdy bude k tomu zadavatelem vyzván nebo poté, kdy takovou potřebu sám zjistí.</w:t>
      </w:r>
    </w:p>
    <w:p w:rsidR="00BB33A9" w:rsidRPr="00992D71" w:rsidRDefault="00BB33A9" w:rsidP="00BB33A9">
      <w:pPr>
        <w:pStyle w:val="Zkladntextodsazen21"/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992D71">
        <w:rPr>
          <w:rFonts w:ascii="Arial" w:hAnsi="Arial" w:cs="Arial"/>
          <w:b/>
          <w:sz w:val="20"/>
        </w:rPr>
        <w:t>Předmětem výkonu dozoru projektanta je především: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účastnit se předání staveniště zhotoviteli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dohled nad realizací díla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kontrola dodržování projektové dokumentace s přihlédnutím na podmínky určené povolením stavby, souhlasem stavebního úřadu, případně nařízením nezbytných stavebních úprav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BB33A9" w:rsidRPr="00992D71" w:rsidRDefault="00BB33A9" w:rsidP="00BB33A9">
      <w:pPr>
        <w:pStyle w:val="Odstavecseseznamem"/>
        <w:numPr>
          <w:ilvl w:val="0"/>
          <w:numId w:val="23"/>
        </w:num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lastRenderedPageBreak/>
        <w:t>v případě nutnosti zpracování změny záměru před dokončením dle § 224 stavebního zákona v platném znění, která je součástí výkonu dozoru projektanta jako autora díla, neprodleně po tomto zjištění zahájit projekční práce včetně zajištění všech příslušných vyjádření a dokladů nezbytných k podání žádosti dle § 184 Sta</w:t>
      </w:r>
      <w:r w:rsidR="00992D71" w:rsidRPr="00992D71">
        <w:rPr>
          <w:rFonts w:ascii="Arial" w:hAnsi="Arial" w:cs="Arial"/>
          <w:sz w:val="20"/>
          <w:szCs w:val="20"/>
        </w:rPr>
        <w:t xml:space="preserve">vebního zákona v platném znění </w:t>
      </w:r>
      <w:r w:rsidRPr="00992D71">
        <w:rPr>
          <w:rFonts w:ascii="Arial" w:hAnsi="Arial" w:cs="Arial"/>
          <w:sz w:val="20"/>
          <w:szCs w:val="20"/>
        </w:rPr>
        <w:t xml:space="preserve">a dále podání žádosti včetně všech příloh na příslušný stavební úřad. </w:t>
      </w:r>
      <w:r w:rsidRPr="00992D71">
        <w:rPr>
          <w:rFonts w:ascii="Arial" w:hAnsi="Arial" w:cs="Arial"/>
          <w:bCs/>
          <w:sz w:val="20"/>
          <w:szCs w:val="20"/>
        </w:rPr>
        <w:t>Před podáním žádostí na příslušný stavební úřad je zhotovitel povinen odsouhlasit si tyto žádosti včetně všech příloh se zástupci objednatele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992D71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992D71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BB33A9" w:rsidRPr="00992D71" w:rsidRDefault="00BB33A9" w:rsidP="00BB33A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BB33A9" w:rsidRPr="00992D71" w:rsidRDefault="00BB33A9" w:rsidP="00BB33A9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992D71">
        <w:rPr>
          <w:rFonts w:ascii="Arial" w:hAnsi="Arial" w:cs="Arial"/>
          <w:iCs/>
          <w:sz w:val="20"/>
        </w:rPr>
        <w:t>Zjistí-li autor při výkonu dozoru projektanta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92D71">
        <w:rPr>
          <w:rFonts w:ascii="Arial" w:hAnsi="Arial" w:cs="Arial"/>
          <w:sz w:val="20"/>
          <w:szCs w:val="20"/>
        </w:rPr>
        <w:t xml:space="preserve">Dozor projektanta bude vykonáván na vyžádání ze strany zadavatele. Předmět, termín a místo výkonu dozoru projektanta budou dohodnuty vždy individuálně při každé výzvě zadavatele. </w:t>
      </w: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BB33A9" w:rsidRPr="00992D71" w:rsidRDefault="00BB33A9" w:rsidP="00BB33A9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992D71">
        <w:rPr>
          <w:rFonts w:ascii="Arial" w:hAnsi="Arial" w:cs="Arial"/>
          <w:b/>
          <w:sz w:val="20"/>
          <w:szCs w:val="20"/>
          <w:u w:val="single"/>
        </w:rPr>
        <w:t>Geodetické podklady:</w:t>
      </w:r>
    </w:p>
    <w:p w:rsidR="00BB33A9" w:rsidRPr="00992D71" w:rsidRDefault="00BB33A9" w:rsidP="00BB33A9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Cs/>
          <w:sz w:val="20"/>
          <w:szCs w:val="20"/>
        </w:rPr>
      </w:pPr>
      <w:r w:rsidRPr="00992D71">
        <w:rPr>
          <w:rFonts w:ascii="Arial" w:eastAsia="Arial" w:hAnsi="Arial" w:cs="Arial"/>
          <w:bCs/>
          <w:sz w:val="20"/>
          <w:szCs w:val="20"/>
        </w:rPr>
        <w:t>Předmětem akce je i vyhotovení geodetické části dokumentace skutečného provedení stavby nebo geodetického podkladu pro vedení Digitální technické mapy, obsahující geometrické, polohové a výškové určení dokončené stavby nebo technologického zařízení. Bude vyhotoveno v souladu s § 5 a ve struktuře dle příloh č. 3 a 4 vyhlášky č. 393/2020 Sb., o digitální technické mapě (vyhláška DTM), v platném znění, v aktuálně platné verzi výměnného formátu dle § 6 vyhlášky DTM.</w:t>
      </w:r>
    </w:p>
    <w:p w:rsidR="00BB33A9" w:rsidRPr="00992D71" w:rsidRDefault="00BB33A9" w:rsidP="00BB33A9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992D71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BB33A9" w:rsidRPr="00992D71" w:rsidRDefault="00BB33A9" w:rsidP="00BB33A9">
      <w:pPr>
        <w:rPr>
          <w:rFonts w:ascii="Arial" w:hAnsi="Arial" w:cs="Arial"/>
          <w:bCs/>
          <w:sz w:val="20"/>
          <w:szCs w:val="20"/>
          <w:highlight w:val="yellow"/>
        </w:rPr>
      </w:pPr>
      <w:r w:rsidRPr="00992D71">
        <w:rPr>
          <w:rFonts w:ascii="Arial" w:hAnsi="Arial" w:cs="Arial"/>
          <w:sz w:val="20"/>
          <w:szCs w:val="20"/>
        </w:rPr>
        <w:t>Místo stavby – Kraj Vysočina, okres Pelhřimov</w:t>
      </w:r>
      <w:r w:rsidRPr="00992D71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992D71">
        <w:rPr>
          <w:rFonts w:ascii="Arial" w:hAnsi="Arial" w:cs="Arial"/>
          <w:bCs/>
          <w:sz w:val="20"/>
          <w:szCs w:val="20"/>
        </w:rPr>
        <w:t xml:space="preserve">k. </w:t>
      </w:r>
      <w:proofErr w:type="spellStart"/>
      <w:r w:rsidRPr="00992D71">
        <w:rPr>
          <w:rFonts w:ascii="Arial" w:hAnsi="Arial" w:cs="Arial"/>
          <w:bCs/>
          <w:sz w:val="20"/>
          <w:szCs w:val="20"/>
        </w:rPr>
        <w:t>ú.</w:t>
      </w:r>
      <w:proofErr w:type="spellEnd"/>
      <w:r w:rsidRPr="00992D71">
        <w:rPr>
          <w:rFonts w:ascii="Arial" w:hAnsi="Arial" w:cs="Arial"/>
          <w:bCs/>
          <w:sz w:val="20"/>
          <w:szCs w:val="20"/>
        </w:rPr>
        <w:t xml:space="preserve"> Pacov</w:t>
      </w:r>
    </w:p>
    <w:p w:rsidR="00BB33A9" w:rsidRPr="00992D71" w:rsidRDefault="00BB33A9" w:rsidP="00BB33A9">
      <w:pPr>
        <w:rPr>
          <w:rFonts w:ascii="Arial" w:hAnsi="Arial" w:cs="Arial"/>
          <w:sz w:val="20"/>
          <w:szCs w:val="20"/>
          <w:highlight w:val="yellow"/>
        </w:rPr>
      </w:pPr>
    </w:p>
    <w:p w:rsidR="00BB33A9" w:rsidRPr="00992D71" w:rsidRDefault="00BB33A9" w:rsidP="00BB33A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992D71">
        <w:rPr>
          <w:rFonts w:ascii="Arial" w:hAnsi="Arial" w:cs="Arial"/>
          <w:b/>
          <w:sz w:val="20"/>
          <w:szCs w:val="20"/>
          <w:u w:val="single"/>
        </w:rPr>
        <w:t>Lhůty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956"/>
        <w:gridCol w:w="3390"/>
      </w:tblGrid>
      <w:tr w:rsidR="00BB33A9" w:rsidRPr="00992D71" w:rsidTr="00BE03E0">
        <w:tc>
          <w:tcPr>
            <w:tcW w:w="4642" w:type="dxa"/>
            <w:shd w:val="clear" w:color="auto" w:fill="auto"/>
          </w:tcPr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</w:rPr>
              <w:t>Zahájení realizace</w:t>
            </w:r>
          </w:p>
        </w:tc>
        <w:tc>
          <w:tcPr>
            <w:tcW w:w="4646" w:type="dxa"/>
            <w:shd w:val="clear" w:color="auto" w:fill="auto"/>
          </w:tcPr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BB33A9" w:rsidRPr="00992D71" w:rsidTr="00BE03E0">
        <w:tc>
          <w:tcPr>
            <w:tcW w:w="4642" w:type="dxa"/>
          </w:tcPr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</w:rPr>
              <w:t>Dokumentace DPS (koncept)</w:t>
            </w:r>
          </w:p>
        </w:tc>
        <w:tc>
          <w:tcPr>
            <w:tcW w:w="4646" w:type="dxa"/>
          </w:tcPr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</w:rPr>
              <w:t>do 120 dnů od nabytí účinnosti smlouvy</w:t>
            </w:r>
          </w:p>
        </w:tc>
      </w:tr>
      <w:tr w:rsidR="00BB33A9" w:rsidRPr="00992D71" w:rsidTr="00BE03E0">
        <w:tc>
          <w:tcPr>
            <w:tcW w:w="4642" w:type="dxa"/>
          </w:tcPr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</w:rPr>
              <w:t>Dokumentace DPS (čistopis, odsouhlasený objednatelem)</w:t>
            </w:r>
          </w:p>
        </w:tc>
        <w:tc>
          <w:tcPr>
            <w:tcW w:w="4646" w:type="dxa"/>
            <w:shd w:val="clear" w:color="auto" w:fill="auto"/>
          </w:tcPr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</w:rPr>
              <w:t>do 60 dnů od předání konceptu</w:t>
            </w:r>
          </w:p>
        </w:tc>
      </w:tr>
      <w:tr w:rsidR="00BB33A9" w:rsidRPr="00992D71" w:rsidTr="00BE03E0">
        <w:tc>
          <w:tcPr>
            <w:tcW w:w="4642" w:type="dxa"/>
          </w:tcPr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</w:rPr>
              <w:t>Podání žádosti o povolení záměru</w:t>
            </w:r>
          </w:p>
        </w:tc>
        <w:tc>
          <w:tcPr>
            <w:tcW w:w="4646" w:type="dxa"/>
            <w:shd w:val="clear" w:color="auto" w:fill="auto"/>
          </w:tcPr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</w:rPr>
              <w:t xml:space="preserve">do 30 dnů od dokončení IČ </w:t>
            </w:r>
          </w:p>
        </w:tc>
      </w:tr>
      <w:tr w:rsidR="00BB33A9" w:rsidRPr="00992D71" w:rsidTr="00BE03E0">
        <w:tc>
          <w:tcPr>
            <w:tcW w:w="4642" w:type="dxa"/>
          </w:tcPr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</w:rPr>
              <w:t>Dokumentace PDPS vč. rozpočtu (čistopis, odsouhlasený objednatelem)</w:t>
            </w:r>
          </w:p>
        </w:tc>
        <w:tc>
          <w:tcPr>
            <w:tcW w:w="4646" w:type="dxa"/>
          </w:tcPr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</w:rPr>
              <w:t>do 60 dnů od vydání pravomocného povolení</w:t>
            </w:r>
          </w:p>
        </w:tc>
      </w:tr>
      <w:tr w:rsidR="00BB33A9" w:rsidRPr="00992D71" w:rsidTr="00BE03E0">
        <w:tc>
          <w:tcPr>
            <w:tcW w:w="4642" w:type="dxa"/>
            <w:shd w:val="clear" w:color="auto" w:fill="auto"/>
          </w:tcPr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Předpoklad zahájení výkonu dozoru projektanta</w:t>
            </w:r>
          </w:p>
        </w:tc>
        <w:tc>
          <w:tcPr>
            <w:tcW w:w="4646" w:type="dxa"/>
            <w:shd w:val="clear" w:color="auto" w:fill="auto"/>
          </w:tcPr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</w:rPr>
              <w:t>do 60 měsíců od předání čistopisu PDPS</w:t>
            </w:r>
          </w:p>
        </w:tc>
      </w:tr>
      <w:tr w:rsidR="00BB33A9" w:rsidRPr="00992D71" w:rsidTr="00BE03E0">
        <w:tc>
          <w:tcPr>
            <w:tcW w:w="4642" w:type="dxa"/>
            <w:shd w:val="clear" w:color="auto" w:fill="auto"/>
          </w:tcPr>
          <w:p w:rsidR="00BB33A9" w:rsidRPr="00992D71" w:rsidRDefault="00BB33A9" w:rsidP="00BE03E0">
            <w:pPr>
              <w:overflowPunct w:val="0"/>
              <w:autoSpaceDE w:val="0"/>
              <w:autoSpaceDN w:val="0"/>
              <w:adjustRightInd w:val="0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Změna záměru (čistopis, včetně soupisů </w:t>
            </w:r>
          </w:p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prací, odsouhlasený objednatelem a TDS)                </w:t>
            </w:r>
          </w:p>
        </w:tc>
        <w:tc>
          <w:tcPr>
            <w:tcW w:w="4646" w:type="dxa"/>
            <w:shd w:val="clear" w:color="auto" w:fill="auto"/>
          </w:tcPr>
          <w:p w:rsidR="00BB33A9" w:rsidRPr="00992D71" w:rsidRDefault="00BB33A9" w:rsidP="00BE03E0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2D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 15 dnů od zjištění, následně neprodleně zajistit ostatní požadované přílohy (pokud během stavby nastane změna záměru)</w:t>
            </w:r>
          </w:p>
        </w:tc>
      </w:tr>
    </w:tbl>
    <w:p w:rsidR="00BB33A9" w:rsidRPr="00992D71" w:rsidRDefault="00BB33A9" w:rsidP="00BB33A9">
      <w:pPr>
        <w:spacing w:before="24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:rsidR="00BB33A9" w:rsidRPr="00992D71" w:rsidRDefault="00BB33A9" w:rsidP="005E65B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BB33A9" w:rsidRPr="00992D71" w:rsidSect="0034703B">
      <w:headerReference w:type="default" r:id="rId10"/>
      <w:footerReference w:type="default" r:id="rId11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596975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596975">
      <w:rPr>
        <w:rFonts w:ascii="Arial" w:hAnsi="Arial" w:cs="Arial"/>
        <w:b/>
        <w:noProof/>
        <w:sz w:val="16"/>
        <w:szCs w:val="16"/>
      </w:rPr>
      <w:t>7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862833"/>
    <w:multiLevelType w:val="hybridMultilevel"/>
    <w:tmpl w:val="53EE87E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D01FCAD7"/>
    <w:multiLevelType w:val="hybridMultilevel"/>
    <w:tmpl w:val="9DCF10E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560F4"/>
    <w:multiLevelType w:val="multilevel"/>
    <w:tmpl w:val="8E585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61678"/>
    <w:multiLevelType w:val="multilevel"/>
    <w:tmpl w:val="38068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07031"/>
    <w:multiLevelType w:val="hybridMultilevel"/>
    <w:tmpl w:val="89309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59230F"/>
    <w:multiLevelType w:val="multilevel"/>
    <w:tmpl w:val="390E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FE6AC6"/>
    <w:multiLevelType w:val="multilevel"/>
    <w:tmpl w:val="DD7ED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5" w15:restartNumberingAfterBreak="0">
    <w:nsid w:val="53773366"/>
    <w:multiLevelType w:val="multilevel"/>
    <w:tmpl w:val="0046F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034D6F"/>
    <w:multiLevelType w:val="multilevel"/>
    <w:tmpl w:val="C4CAE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6D7935"/>
    <w:multiLevelType w:val="multilevel"/>
    <w:tmpl w:val="5280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1"/>
  </w:num>
  <w:num w:numId="3">
    <w:abstractNumId w:val="2"/>
  </w:num>
  <w:num w:numId="4">
    <w:abstractNumId w:val="20"/>
  </w:num>
  <w:num w:numId="5">
    <w:abstractNumId w:val="15"/>
  </w:num>
  <w:num w:numId="6">
    <w:abstractNumId w:val="19"/>
  </w:num>
  <w:num w:numId="7">
    <w:abstractNumId w:val="17"/>
  </w:num>
  <w:num w:numId="8">
    <w:abstractNumId w:val="8"/>
  </w:num>
  <w:num w:numId="9">
    <w:abstractNumId w:val="16"/>
  </w:num>
  <w:num w:numId="10">
    <w:abstractNumId w:val="7"/>
  </w:num>
  <w:num w:numId="11">
    <w:abstractNumId w:val="10"/>
  </w:num>
  <w:num w:numId="12">
    <w:abstractNumId w:val="4"/>
  </w:num>
  <w:num w:numId="13">
    <w:abstractNumId w:val="11"/>
  </w:num>
  <w:num w:numId="14">
    <w:abstractNumId w:val="32"/>
  </w:num>
  <w:num w:numId="15">
    <w:abstractNumId w:val="27"/>
  </w:num>
  <w:num w:numId="16">
    <w:abstractNumId w:val="5"/>
  </w:num>
  <w:num w:numId="17">
    <w:abstractNumId w:val="13"/>
  </w:num>
  <w:num w:numId="18">
    <w:abstractNumId w:val="33"/>
  </w:num>
  <w:num w:numId="19">
    <w:abstractNumId w:val="26"/>
  </w:num>
  <w:num w:numId="20">
    <w:abstractNumId w:val="23"/>
  </w:num>
  <w:num w:numId="21">
    <w:abstractNumId w:val="6"/>
  </w:num>
  <w:num w:numId="22">
    <w:abstractNumId w:val="28"/>
  </w:num>
  <w:num w:numId="23">
    <w:abstractNumId w:val="24"/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8"/>
  </w:num>
  <w:num w:numId="27">
    <w:abstractNumId w:val="29"/>
  </w:num>
  <w:num w:numId="28">
    <w:abstractNumId w:val="30"/>
  </w:num>
  <w:num w:numId="29">
    <w:abstractNumId w:val="3"/>
  </w:num>
  <w:num w:numId="30">
    <w:abstractNumId w:val="21"/>
  </w:num>
  <w:num w:numId="31">
    <w:abstractNumId w:val="25"/>
  </w:num>
  <w:num w:numId="32">
    <w:abstractNumId w:val="18"/>
  </w:num>
  <w:num w:numId="33">
    <w:abstractNumId w:val="9"/>
  </w:num>
  <w:num w:numId="34">
    <w:abstractNumId w:val="34"/>
  </w:num>
  <w:num w:numId="35">
    <w:abstractNumId w:val="12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1297C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53F4E"/>
    <w:rsid w:val="0016103B"/>
    <w:rsid w:val="001632A3"/>
    <w:rsid w:val="00167A1E"/>
    <w:rsid w:val="00172C17"/>
    <w:rsid w:val="00174D7F"/>
    <w:rsid w:val="001B46DA"/>
    <w:rsid w:val="001C3BF8"/>
    <w:rsid w:val="001C4EBD"/>
    <w:rsid w:val="001C5F54"/>
    <w:rsid w:val="001C7DD6"/>
    <w:rsid w:val="001E3591"/>
    <w:rsid w:val="001E3B69"/>
    <w:rsid w:val="001F1E8D"/>
    <w:rsid w:val="00201C8A"/>
    <w:rsid w:val="00206A81"/>
    <w:rsid w:val="00207AAA"/>
    <w:rsid w:val="0021028E"/>
    <w:rsid w:val="00227F69"/>
    <w:rsid w:val="00245CC3"/>
    <w:rsid w:val="0024717C"/>
    <w:rsid w:val="002505CD"/>
    <w:rsid w:val="002715B4"/>
    <w:rsid w:val="00272769"/>
    <w:rsid w:val="002819DD"/>
    <w:rsid w:val="00294439"/>
    <w:rsid w:val="002A2808"/>
    <w:rsid w:val="002A70F8"/>
    <w:rsid w:val="002C3FF4"/>
    <w:rsid w:val="002D116F"/>
    <w:rsid w:val="002D2AC8"/>
    <w:rsid w:val="003012C4"/>
    <w:rsid w:val="00317A3B"/>
    <w:rsid w:val="0032208A"/>
    <w:rsid w:val="00322187"/>
    <w:rsid w:val="00335791"/>
    <w:rsid w:val="0034703B"/>
    <w:rsid w:val="00355D64"/>
    <w:rsid w:val="003634A2"/>
    <w:rsid w:val="00395D4F"/>
    <w:rsid w:val="003A6635"/>
    <w:rsid w:val="003B523E"/>
    <w:rsid w:val="003C0016"/>
    <w:rsid w:val="003C5BC7"/>
    <w:rsid w:val="003D36F1"/>
    <w:rsid w:val="00405F21"/>
    <w:rsid w:val="00413BFA"/>
    <w:rsid w:val="004177E6"/>
    <w:rsid w:val="00433246"/>
    <w:rsid w:val="0043662A"/>
    <w:rsid w:val="00437E4E"/>
    <w:rsid w:val="00457474"/>
    <w:rsid w:val="0047400F"/>
    <w:rsid w:val="00487EB6"/>
    <w:rsid w:val="004B1D1B"/>
    <w:rsid w:val="004B2925"/>
    <w:rsid w:val="004B3A5B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96975"/>
    <w:rsid w:val="005A2999"/>
    <w:rsid w:val="005A3E25"/>
    <w:rsid w:val="005B1FC8"/>
    <w:rsid w:val="005E469A"/>
    <w:rsid w:val="005E59F4"/>
    <w:rsid w:val="005E65B7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B7CDC"/>
    <w:rsid w:val="00723546"/>
    <w:rsid w:val="007349F9"/>
    <w:rsid w:val="007462B8"/>
    <w:rsid w:val="007524A0"/>
    <w:rsid w:val="00756EC0"/>
    <w:rsid w:val="0076591D"/>
    <w:rsid w:val="00771D72"/>
    <w:rsid w:val="00781C90"/>
    <w:rsid w:val="007908F6"/>
    <w:rsid w:val="00794F75"/>
    <w:rsid w:val="007D1374"/>
    <w:rsid w:val="007E6FEB"/>
    <w:rsid w:val="007F411D"/>
    <w:rsid w:val="007F463F"/>
    <w:rsid w:val="008023D2"/>
    <w:rsid w:val="00817C5F"/>
    <w:rsid w:val="008209FA"/>
    <w:rsid w:val="00836C76"/>
    <w:rsid w:val="00844B90"/>
    <w:rsid w:val="00847C98"/>
    <w:rsid w:val="0085017D"/>
    <w:rsid w:val="008661DA"/>
    <w:rsid w:val="008742AE"/>
    <w:rsid w:val="0088286F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92D71"/>
    <w:rsid w:val="009B0C47"/>
    <w:rsid w:val="009B37C8"/>
    <w:rsid w:val="009E174F"/>
    <w:rsid w:val="009E5449"/>
    <w:rsid w:val="00A02A92"/>
    <w:rsid w:val="00A02C1A"/>
    <w:rsid w:val="00A111D2"/>
    <w:rsid w:val="00A22581"/>
    <w:rsid w:val="00A258B6"/>
    <w:rsid w:val="00A333AD"/>
    <w:rsid w:val="00A44DF5"/>
    <w:rsid w:val="00A63D56"/>
    <w:rsid w:val="00A93CA0"/>
    <w:rsid w:val="00AA14FB"/>
    <w:rsid w:val="00AA21EC"/>
    <w:rsid w:val="00AA42F6"/>
    <w:rsid w:val="00AA667C"/>
    <w:rsid w:val="00AA76D7"/>
    <w:rsid w:val="00AB286A"/>
    <w:rsid w:val="00AC4AB1"/>
    <w:rsid w:val="00AE7DD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B33A9"/>
    <w:rsid w:val="00BD08E8"/>
    <w:rsid w:val="00BD2DC3"/>
    <w:rsid w:val="00BE3B79"/>
    <w:rsid w:val="00BF4645"/>
    <w:rsid w:val="00C040A0"/>
    <w:rsid w:val="00C0508D"/>
    <w:rsid w:val="00C34F5B"/>
    <w:rsid w:val="00C52667"/>
    <w:rsid w:val="00C65520"/>
    <w:rsid w:val="00CB1CE3"/>
    <w:rsid w:val="00CF3EA0"/>
    <w:rsid w:val="00D1051F"/>
    <w:rsid w:val="00D21D1B"/>
    <w:rsid w:val="00D21DBE"/>
    <w:rsid w:val="00D24A4F"/>
    <w:rsid w:val="00D27F79"/>
    <w:rsid w:val="00D36F3C"/>
    <w:rsid w:val="00D55D6F"/>
    <w:rsid w:val="00D674D6"/>
    <w:rsid w:val="00D83014"/>
    <w:rsid w:val="00D9018D"/>
    <w:rsid w:val="00DA4DDF"/>
    <w:rsid w:val="00DA5742"/>
    <w:rsid w:val="00DB70B1"/>
    <w:rsid w:val="00DE107F"/>
    <w:rsid w:val="00DF3229"/>
    <w:rsid w:val="00E02F34"/>
    <w:rsid w:val="00E07484"/>
    <w:rsid w:val="00E12753"/>
    <w:rsid w:val="00E26473"/>
    <w:rsid w:val="00E336FE"/>
    <w:rsid w:val="00E36ADA"/>
    <w:rsid w:val="00E720EA"/>
    <w:rsid w:val="00EA03AD"/>
    <w:rsid w:val="00EC5DCC"/>
    <w:rsid w:val="00ED28F8"/>
    <w:rsid w:val="00ED43D1"/>
    <w:rsid w:val="00EE2E2A"/>
    <w:rsid w:val="00EE4017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B33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E65B7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B33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iln">
    <w:name w:val="Strong"/>
    <w:basedOn w:val="Standardnpsmoodstavce"/>
    <w:uiPriority w:val="22"/>
    <w:qFormat/>
    <w:rsid w:val="00BB33A9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B3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xc4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C6D9B-E81E-4E76-8D0B-40B23FF1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2605</Words>
  <Characters>15370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45</cp:revision>
  <cp:lastPrinted>2024-04-18T12:32:00Z</cp:lastPrinted>
  <dcterms:created xsi:type="dcterms:W3CDTF">2024-07-19T07:39:00Z</dcterms:created>
  <dcterms:modified xsi:type="dcterms:W3CDTF">2025-10-30T11:15:00Z</dcterms:modified>
</cp:coreProperties>
</file>